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SCBES.2022.90 vom 23. Januar 2023</w:t>
      </w:r>
    </w:p>
    <w:p>
      <w:r>
        <w:t>SO Obergericht, 2023-01-23, DE</w:t>
      </w:r>
    </w:p>
    <w:p>
      <w:r>
        <w:rPr>
          <w:b/>
        </w:rPr>
        <w:t xml:space="preserve">Quelle: </w:t>
      </w:r>
      <w:r>
        <w:t>https://mcp.opencaselaw.ch/entscheid/so_gerichte_SCBES.2022.90</w:t>
      </w:r>
    </w:p>
    <w:p>
      <w:r>
        <w:t>FR: SO_GERICHTE SCBES.2022.90 du 23 janvier 2023</w:t>
      </w:r>
    </w:p>
    <w:p>
      <w:r>
        <w:t>IT: SO_GERICHTE SCBES.2022.90 del 23 gennaio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 ist demnach abzuweisen. Das Beschwerdeverfahren ist nach Art. 20a SchKG und Art. 61 Abs. 2 lit. a GebV SchKG unentgeltlich. Die Ausrichtung einer Parteientschädigung kommt nicht in Betracht (Art. 62 Abs. 2 GebV SchKG).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