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SCBES.2022.75 vom 9. November 2022</w:t>
      </w:r>
    </w:p>
    <w:p>
      <w:r>
        <w:t>SO Obergericht, 2022-11-09, DE</w:t>
      </w:r>
    </w:p>
    <w:p>
      <w:r>
        <w:rPr>
          <w:b/>
        </w:rPr>
        <w:t xml:space="preserve">Quelle: </w:t>
      </w:r>
      <w:r>
        <w:t>https://mcp.opencaselaw.ch/entscheid/so_gerichte_SCBES.2022.75</w:t>
      </w:r>
    </w:p>
    <w:p>
      <w:r>
        <w:t>FR: SO_GERICHTE SCBES.2022.75 du 9 novembre 2022</w:t>
      </w:r>
    </w:p>
    <w:p>
      <w:r>
        <w:t>IT: SO_GERICHTE SCBES.2022.75 del 9 novembre 2022</w:t>
      </w:r>
    </w:p>
    <w:p>
      <w:pPr>
        <w:pStyle w:val="Heading2"/>
      </w:pPr>
      <w:r>
        <w:t>Erwägungen</w:t>
      </w:r>
    </w:p>
    <w:p>
      <w:r>
        <w:rPr>
          <w:b/>
        </w:rPr>
        <w:t>E. 4</w:t>
      </w:r>
    </w:p>
    <w:p>
      <w:r>
        <w:t>4.1     Die Beschwerde ist demnach abzuweisen, soweit darauf einzutreten ist. 4.2     Das Beschwerdeverfahren ist nach Art. 20a SchKG und Art. 61 Abs. 2 lit. a GebV SchKG unentgeltlich, weshalb das Gesuch um Gewährung der unentgeltlichen Rechtspflege gegenstandslos ist. 4.3     Die Ausrichtung einer Parteientschädigung kommt nicht in Betracht (Art. 62 Abs. 2 GebV SchKG). Zudem ist nach dem Verfahrensausgang auch die Zusprechung einer Genugtuung ausgeschlossen. 5.       Mit dem sofortigen Entscheid in der Sache ist das Gesuch um eine superprovisorische Aufhebung der Pfändungsverfügung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