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BKBES.2026.42 vom 11. Mai 2026</w:t>
      </w:r>
    </w:p>
    <w:p>
      <w:r>
        <w:t>SO Obergericht, 2026-05-11, DE</w:t>
      </w:r>
    </w:p>
    <w:p>
      <w:r>
        <w:rPr>
          <w:b/>
        </w:rPr>
        <w:t xml:space="preserve">Quelle: </w:t>
      </w:r>
      <w:r>
        <w:t>https://mcp.opencaselaw.ch/entscheid/so_gerichte_BKBES.2026.42</w:t>
      </w:r>
    </w:p>
    <w:p>
      <w:r>
        <w:t>FR: SO_GERICHTE BKBES.2026.42 du 11 mai 2026</w:t>
      </w:r>
    </w:p>
    <w:p>
      <w:r>
        <w:t>IT: SO_GERICHTE BKBES.2026.42 del 11 maggio 2026</w:t>
      </w:r>
    </w:p>
    <w:p>
      <w:pPr>
        <w:pStyle w:val="Heading2"/>
      </w:pPr>
      <w:r>
        <w:t>Erwägungen</w:t>
      </w:r>
    </w:p>
    <w:p>
      <w:r>
        <w:rPr>
          <w:b/>
        </w:rPr>
        <w:t>E. 4</w:t>
      </w:r>
    </w:p>
    <w:p>
      <w:r>
        <w:t>Sowohl die Staatsanwaltschaft als auch die Beschuldigte weisen zu Recht darauf hin (und dies wird vom Beschwerdeführer auch nicht bestritten), dass die Beschuldigte lediglich einen Sachverhalt geschildert hat, der sich effektiv so zugetragen hat (öffentliche Gemeinderatssitzung, Budgetdiskussion, Bericht der [...] [...]). Dass sie sich durch den Artikel des Beschwerdeführers auf der Homepage der [...] [...] vom 24. Oktober 2025 in ihrer Ehre verletzt gefühlt hat, ist nachvollziehbar, auch wenn die Staatsanwaltschaft die Strafanzeige nicht an die Hand genommen hat, weil sie darin keine strafrechtlich relevante Ehrverletzung sah. Aus der Darstellung des Beschwerdeführers könnte entnommen werden, sie resp. die Finanzverwalterin hätten ihre Arbeit nicht ordnungsgemäss ausgeführt und sie hätten auch nicht transparent informiert. Dass die Beschuldigte gegenüber der [...] Zeitung gesagt hat, sie habe eine Nichtanhandnahmeverfügung erwartet und habe ein Zeichen setzen wollen, bedeutet nicht, dass sie mit ihrer Anzeige eine falsche Anschuldigung oder eine Ehrverletzung begangen hätte. Wer sich durch einen wahren und wie hier unbestrittenen Sachverhalt in der Ehre verletzt fühlt, darf eine Strafanzeige einreichen und macht sich mit diesem Vorgehen nicht strafbar (eine andere Frage ist, ob die Strafanzeige resp. der Strafantrag dann auch tatsächlich an die Hand zu nehmen ist).</w:t>
      </w:r>
    </w:p>
    <w:p>
      <w:r>
        <w:t>Die Staatsanwaltschaft hat die Strafanzeige des Beschwerdeführers folglich zu Recht nicht an die Hand genommen. In einer zu eröffnenden Strafuntersuchung wäre mit grösster Wahrscheinlichkeit ein Freispruch zu erwarten, weshalb sich eine solche nicht rechtfertigt. Die Beschwerde erweist sich somit als unbegründet und sie ist entsprechend abzuweisen.</w:t>
      </w:r>
    </w:p>
    <w:p>
      <w:r>
        <w:rPr>
          <w:b/>
        </w:rPr>
        <w:t>E. 5</w:t>
      </w:r>
    </w:p>
    <w:p>
      <w:r>
        <w:t>Die Kosten des Beschwerdeverfahrens von total CHF 900.00 gehen bei diesem Ausgang des Verfahrens zu Lasten des Beschwerdeführers und sind mit der geleisteten Sicherheit zu verrechnen.</w:t>
      </w:r>
    </w:p>
    <w:p>
      <w:r>
        <w:t>Beim vorliegenden Ausgang des Verfahrens steht der Beschuldigten eine Parteientschädigung zu.</w:t>
      </w:r>
    </w:p>
    <w:p>
      <w:r>
        <w:t>Im Entscheid 147 IV 47 hat sich das Bundesgericht u.a. damit befasst, wer die Entschädigung an die beschuldigte Person im Rechtsmittelverfahren zu bezahlen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in Verbindung mit Art. 432 Abs. 2 StPO).</w:t>
      </w:r>
    </w:p>
    <w:p>
      <w:r>
        <w:t>Beim Tatbestand der falschen Anschuldigung nach Art. 303 Ziff. 1 StGB handelt es sich um ein Offizialdelikt, bei demjenigen der üblen Nachrede um ein Antragsdelikt. Es rechtfertigt sich daher, dem Beschwerdeführer die Hälfte der der Beschuldigten zu bezahlenden Parteientschädigung aufzuerlegen. Die andere Hälfte geht zu Lasten des Staates. Die Entschädigungen sind gemäss Art. 429 Abs. 3 StPO dem Verteidiger auszuzahlen, nach Rechtskraft dieses Beschlusses.</w:t>
      </w:r>
    </w:p>
    <w:p>
      <w:r>
        <w:t>Rechtanwalt Jeker stellt die Entschädigung in das Ermessen des Gerichts. Die Entschädigung wird inklusive Auslagen und Mehrwertsteuer auf CHF 1'000.00 festgesetzt. Der Beschwerdeführer hat somit CHF 500.00 zu bezahlen. Die andere Hälfte geht zu Lasten des Staates.</w:t>
      </w:r>
    </w:p>
    <w:p>
      <w:r>
        <w:t>Demnach wirdbeschlossen:</w:t>
      </w:r>
    </w:p>
    <w:p>
      <w:r>
        <w:t>1.Die Beschwerde wird abgewiesen.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Hagmann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