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BKBES.2019.61 vom 21. Januar 2020</w:t>
      </w:r>
    </w:p>
    <w:p>
      <w:r>
        <w:t>SO Obergericht, 2020-01-21, DE</w:t>
      </w:r>
    </w:p>
    <w:p>
      <w:r>
        <w:rPr>
          <w:b/>
        </w:rPr>
        <w:t xml:space="preserve">Quelle: </w:t>
      </w:r>
      <w:r>
        <w:t>https://mcp.opencaselaw.ch/entscheid/so_gerichte_BKBES.2019.61</w:t>
      </w:r>
    </w:p>
    <w:p>
      <w:r>
        <w:t>FR: SO_GERICHTE BKBES.2019.61 du 21 janvier 2020</w:t>
      </w:r>
    </w:p>
    <w:p>
      <w:r>
        <w:t>IT: SO_GERICHTE BKBES.2019.61 del 21 gennaio 2020</w:t>
      </w:r>
    </w:p>
    <w:p>
      <w:pPr>
        <w:pStyle w:val="Heading2"/>
      </w:pPr>
      <w:r>
        <w:t>Regeste</w:t>
      </w:r>
    </w:p>
    <w:p>
      <w:r>
        <w:t>Art. 106 StPO, Art. 417 StPO. Erhebt ein Rechtsanwalt Beschwerde, ohne über die dafür erforderliche Prozessvollmacht zu verfügen, können ihm die Verfahrenskosten auferlegt werden.</w:t>
      </w:r>
    </w:p>
    <w:p>
      <w:pPr>
        <w:pStyle w:val="Heading2"/>
      </w:pPr>
      <w:r>
        <w:t>Erwägungen</w:t>
      </w:r>
    </w:p>
    <w:p>
      <w:r>
        <w:rPr>
          <w:b/>
        </w:rPr>
        <w:t>E. 3</w:t>
      </w:r>
    </w:p>
    <w:p>
      <w:r>
        <w:t>BGG ausdrücklich verankert ist (sog. Verursacherprinzip). Dieser Grundsatz liegt auch Art. 417 StPO zugrunde. Nach der zu Art. 66 Abs. 3 BGG und Art. 156 Abs. 6 aOG ergangenen Rechtsprechung kann das Gericht ausnahmsweise die Gerichtskosten anstatt der unterliegenden Partei ihrem Rechtsanwalt auferlegen, wenn dieser bei Beachtung elementarster Sorgfalt erkennen musste, dass das von ihm eingelegte Rechtsmittel offensichtlich unzulässig ist (BGE 129 IV 206 E. 2 S. 207 f.). Desgleichen können die Verfahrenskosten gestützt auf Art. 66 Abs. 3 BGG dem gesetzlichen Vertreter eines Minderjährigen überbunden werden (vgl. Urteile des Bundesgerichts 6B_282/2015 vom 18. März 2015 E. 3; 5D_182/2008 vom 11. Dezember 2008; 5A_704/2007 vom 30. November 2007). Dies muss trotz des im Vergleich zu Art. 66 Abs. 3 BGG und Art. 156 Abs. 6 aOG (aber auch Art. 108 ZPO, ausführlich dazu: BGE 141 III 426 E. 2.4 S. 429 ff.) engeren Wortlauts von Art. 417 StPO, der nur die Säumnis und fehlerhafte Verfahrenshandlungen von verfahrensbeteiligten Personen erwähnt, auch für kantonale Strafverfahren gelten. Art. 105 Abs. 1 StPO ist nicht abschliessend (Urteil des Bundesgerichts 6B_364 vom 26. Juli 2018 E. 3.3.3 mit Hinweisen). Obschon in Art. 105 StPO nicht ausdrücklich erwähnt, haben auch Rechtsbeistände oder andere Personen, die als Vertreter einer Partei am Strafverfahren teilnehmen, als Verfahrensbeteiligte im Sinne von Art. 417 StPO zu gelten.</w:t>
      </w:r>
    </w:p>
    <w:p>
      <w:r>
        <w:t>4.2.2 Rechtsanwalt B.___ hat die vorliegend zu beurteilende Beschwerde ohne rechtsgenügliche Mandatierung, als «falsus procurator», erhoben. Dies stellt nach bundesgerichtlicher Rechtsprechung einen hinreichenden Grund für eine Kostenauflage dar (so ausdrücklich für den Zivilprozess: BGE 141 III 426 2.4.3 S. 431). Bei Beachtung elementarster Sorgfalt hätte Rechtsanwalt B.___ erkennen müssen, dass auf die Beschwerde mangels Prozessvollmacht nicht eingetreten werden würde (vgl. BGE 129 IV 206 E. 2 S. 205 f.). Damit sind die Voraussetzungen für eine Kostenauflage nach Art. 417 StPO erfüllt. Rechtsanwalt B.___ hat die Verfahrenskosten in Höhe von CHF 800.00 zu tragen.</w:t>
      </w:r>
    </w:p>
    <w:p>
      <w:r>
        <w:t>Beschwerdekammer, Urteil vom 21. Januar 2020 (BKBES.2019.61)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