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BKBES.2017.130 vom 28. September 2017</w:t>
      </w:r>
    </w:p>
    <w:p>
      <w:r>
        <w:t>SO Obergericht, 2017-09-28, DE</w:t>
      </w:r>
    </w:p>
    <w:p>
      <w:r>
        <w:rPr>
          <w:b/>
        </w:rPr>
        <w:t xml:space="preserve">Quelle: </w:t>
      </w:r>
      <w:r>
        <w:t>https://mcp.opencaselaw.ch/entscheid/so_gerichte_BKBES.2017.130</w:t>
      </w:r>
    </w:p>
    <w:p>
      <w:r>
        <w:t>FR: SO_GERICHTE BKBES.2017.130 du 28 septembre 2017</w:t>
      </w:r>
    </w:p>
    <w:p>
      <w:r>
        <w:t>IT: SO_GERICHTE BKBES.2017.130 del 28 settembre 2017</w:t>
      </w:r>
    </w:p>
    <w:p>
      <w:pPr>
        <w:pStyle w:val="Heading2"/>
      </w:pPr>
      <w:r>
        <w:t>Regeste</w:t>
      </w:r>
    </w:p>
    <w:p>
      <w:r>
        <w:t>Art. 135 Abs. 2 StPO Akontozahlungen für amtliche Verteidiger. Bei Vorliegen der Voraussetzungen, die eine Vorfinanzierung der Aufwendungen für die amtliche Verteidigung für den Anwalt als Zumutung erscheinen lassen, spricht nichts gegen die Gewährung von Akontozahlungen. Richtlinien zu deren Bemessung.</w:t>
      </w:r>
    </w:p>
    <w:p>
      <w:pPr>
        <w:pStyle w:val="Heading2"/>
      </w:pPr>
      <w:r>
        <w:t>Erwägungen</w:t>
      </w:r>
    </w:p>
    <w:p>
      <w:r>
        <w:rPr>
          <w:b/>
        </w:rPr>
        <w:t>E. 26</w:t>
      </w:r>
    </w:p>
    <w:p>
      <w:r>
        <w:t>Juli 2017 aufzuheben.</w:t>
      </w:r>
    </w:p>
    <w:p>
      <w:r>
        <w:t>Obergericht Beschwerdekammer, Urteil vom</w:t>
      </w:r>
    </w:p>
    <w:p>
      <w:r>
        <w:rPr>
          <w:b/>
        </w:rPr>
        <w:t>E. 28</w:t>
      </w:r>
    </w:p>
    <w:p>
      <w:r>
        <w:t>September 2017 (BKBES.2017.130)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