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BKBES.2012.74 vom 29. August 2012</w:t>
      </w:r>
    </w:p>
    <w:p>
      <w:r>
        <w:t>SO Obergericht, 2012-08-29, DE</w:t>
      </w:r>
    </w:p>
    <w:p>
      <w:r>
        <w:rPr>
          <w:b/>
        </w:rPr>
        <w:t xml:space="preserve">Quelle: </w:t>
      </w:r>
      <w:r>
        <w:t>https://mcp.opencaselaw.ch/entscheid/so_gerichte_BKBES.2012.74</w:t>
      </w:r>
    </w:p>
    <w:p>
      <w:r>
        <w:t>FR: SO_GERICHTE BKBES.2012.74 du 29 août 2012</w:t>
      </w:r>
    </w:p>
    <w:p>
      <w:r>
        <w:t>IT: SO_GERICHTE BKBES.2012.74 del 29 agosto 2012</w:t>
      </w:r>
    </w:p>
    <w:p>
      <w:pPr>
        <w:pStyle w:val="Heading2"/>
      </w:pPr>
      <w:r>
        <w:t>Regeste</w:t>
      </w:r>
    </w:p>
    <w:p>
      <w:r>
        <w:t>Art. 105 Abs. 1 und 118 StPO. Eine beschuldigte Person hat ein rechtlich geschütztes Interesse daran, dass Verfahrensbeteiligte, welchen keine Parteistellung zukommt, die Akten nicht einsehen können. Strafantragsteller, die darauf verzichtet haben, im Straf- und im Zivilpunkt Antrag zu stellen, sind nicht mehr Privatkläger, sondern allenfalls noch andere Verfahrensbeteiligte.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August 2012 (BKBES.2012.74)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