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Nr. 50/2020/2 vom 31. August 2021</w:t>
      </w:r>
    </w:p>
    <w:p>
      <w:r>
        <w:t>Sh Obergericht, 2021-08-31, DE</w:t>
      </w:r>
    </w:p>
    <w:p>
      <w:r>
        <w:rPr>
          <w:b/>
        </w:rPr>
        <w:t xml:space="preserve">Quelle: </w:t>
      </w:r>
      <w:r>
        <w:t>https://mcp.opencaselaw.ch/entscheid/sh_obergericht__div_Nr._50_2020_2__div_</w:t>
      </w:r>
    </w:p>
    <w:p>
      <w:r>
        <w:t>FR: SH_OBERGERICHT Nr. 50/2020/2 du 31 août 2021</w:t>
      </w:r>
    </w:p>
    <w:p>
      <w:r>
        <w:t>IT: SH_OBERGERICHT Nr. 50/2020/2 del 31 agosto 2021</w:t>
      </w:r>
    </w:p>
    <w:p>
      <w:pPr>
        <w:pStyle w:val="Heading2"/>
      </w:pPr>
      <w:r>
        <w:t>Regeste</w:t>
      </w:r>
    </w:p>
    <w:p>
      <w:r>
        <w:t>Aufhebung einer ambulanten Massnahme; Regelung der Folgen bei gleichzeitiger Anordnung einer stationären Massnahme; Anrechnung des mit einer Massnahme verbundenen Freiheitsentzugs sowie der erstandenen Untersuchungshaft; Beschwer – Art. 42, Art. 51, Art. 57 Abs. 2 und 3, Art. 59, Art. 63a Abs. 3 und Art. 63b Abs. 5 StGB; Art. 363 Abs. 1 und Art. 382 Abs. 1 StPO | Im Falle neuer Delinquenz w&amp;auml;hrend der ambulanten Behandlung ist das f&amp;uuml;r die Beurteilung der neuen Tat zust&amp;auml;ndige Gericht sowohl f&amp;uuml;r die Aufhebung der erfolglosen ambulanten Behandlung als auch f&amp;uuml;r die Regelung der Folgen zust&amp;auml;ndig (E. 2.3). &amp;Uuml;ber den allf&amp;auml;lligen (Rest-)Vollzug aufgeschobener Freiheitsstrafen und &amp;uuml;ber die Anrechnung des mit den Massnahmen verbundenen Freiheitsentzugs wird erst nach definitiver Aufhebung der neu angeordneten station&amp;auml;ren therapeutischen Massnahme entschieden. Der Beschuldigten kommt weder an einer (generellen) Feststellung der Anrechenbarkeit noch an einer konkreten Berechnung der anrechenbaren Zeit ein aktuelles, rechtlich gesch&amp;uuml;tztes Interesse zu (E. 3&amp;minus;4). OGE 50/2020/2 vom 31. August 2021 (Eine Beschwerde in Strafsachen gegen diesen Entscheid ist vor Bundesgericht noch h&amp;auml;ngig [Verfahren BGer 6B_1160/2021]). Keine Ver&amp;ouml;ffentlichung im Amtsbericht</w:t>
      </w:r>
    </w:p>
    <w:p>
      <w:pPr>
        <w:pStyle w:val="Heading2"/>
      </w:pPr>
      <w:r>
        <w:t>Volltext</w:t>
      </w:r>
    </w:p>
    <w:p>
      <w:r>
        <w:t>Schaffhausen Obergericht 31.08.2021 Nr. 50/2020/2 Schaffhouse Obergericht 31.08.2021 Nr. 50/2020/2 Sciaffusa Obergericht 31.08.2021 Nr. 50/2020/2</w:t>
      </w:r>
    </w:p>
    <w:p>
      <w:r>
        <w:t>Aufhebung einer ambulanten Massnahme; Regelung der Folgen bei gleichzeitiger Anordnung einer stationären Massnahme; Anrechnung des mit einer Massnahme verbundenen Freiheitsentzugs sowie der erstandenen Untersuchungshaft; Beschwer – Art. 42, Art. 51, Art. 57 Abs. 2 und 3, Art. 59, Art. 63a Abs. 3 und Art. 63b Abs. 5 StGB; Art. 363 Abs. 1 und Art. 382 Abs. 1 StPO | Im Falle neuer Delinquenz w&amp;auml;hrend der ambulanten Behandlung ist das f&amp;uuml;r die Beurteilung der neuen Tat zust&amp;auml;ndige Gericht sowohl f&amp;uuml;r die Aufhebung der erfolglosen ambulanten Behandlung als auch f&amp;uuml;r die Regelung der Folgen zust&amp;auml;ndig (E. 2.3).</w:t>
      </w:r>
    </w:p>
    <w:p>
      <w:r>
        <w:t>&amp;Uuml;ber den allf&amp;auml;lligen (Rest-)Vollzug aufgeschobener Freiheitsstrafen und &amp;uuml;ber die Anrechnung des mit den Massnahmen verbundenen Freiheitsentzugs wird erst nach definitiver Aufhebung der neu angeordneten station&amp;auml;ren therapeutischen Massnahme entschieden. Der Beschuldigten kommt weder an einer (generellen) Feststellung der Anrechenbarkeit noch an einer konkreten Berechnung der anrechenbaren Zeit ein aktuelles, rechtlich gesch&amp;uuml;tztes Interesse zu (E. 3&amp;minus;4).</w:t>
      </w:r>
    </w:p>
    <w:p>
      <w:r>
        <w:t>OGE 50/2020/2 vom 31. August 2021</w:t>
      </w:r>
    </w:p>
    <w:p>
      <w:r>
        <w:t>(Eine Beschwerde in Strafsachen gegen diesen Entscheid ist vor Bundesgericht noch h&amp;auml;ngig [Verfahren BGer 6B_1160/2021]).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