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93/2016/15 vom 26. Februar 2019</w:t>
      </w:r>
    </w:p>
    <w:p>
      <w:r>
        <w:t>Sh Obergericht, 2019-02-26, DE</w:t>
      </w:r>
    </w:p>
    <w:p>
      <w:r>
        <w:rPr>
          <w:b/>
        </w:rPr>
        <w:t xml:space="preserve">Quelle: </w:t>
      </w:r>
      <w:r>
        <w:t>https://mcp.opencaselaw.ch/entscheid/sh_obergericht_93_2016_15_</w:t>
      </w:r>
    </w:p>
    <w:p>
      <w:r>
        <w:t>FR: SH_OBERGERICHT 93/2016/15 du 26 février 2019</w:t>
      </w:r>
    </w:p>
    <w:p>
      <w:r>
        <w:t>IT: SH_OBERGERICHT 93/2016/15 del 26 febbraio 2019</w:t>
      </w:r>
    </w:p>
    <w:p>
      <w:pPr>
        <w:pStyle w:val="Heading2"/>
      </w:pPr>
      <w:r>
        <w:t>Regeste</w:t>
      </w:r>
    </w:p>
    <w:p>
      <w:r>
        <w:t>Verwertung strafrechtlich eingezogener Vermögenswerte; Zuständigkeit und anwendbares Verfahren – Art. 17 Abs. 1, Art. 44, Art. 120 und Art. 155 Abs. 2 SchKG; Art. 70 Abs. 1 StGB; Art. 442 Abs. 1 StPO; § 2 Abs. 2 JVV. | Die Mitteilung eines Verwertungsbegehrens ist keine Betreibungshandlung. Sie stellt jedoch unter Umst&amp;auml;nden einen beschwerdef&amp;auml;higen Entscheid mit Aussenwirkung f&amp;uuml;r das gew&amp;auml;hlte Verfahren dar (E. 2.3). Die nach der strafrechtlichen gerichtlichen Einziehung von Verm&amp;ouml;genswerten noch erforderlichen Inkassohandlungen &amp;ndash; einschliesslich Verwertungsgesuch &amp;ndash; obliegen im Kanton Schaffhausen der Finanzverwaltung (E. 3.1). Die strafrechtliche Beschlagnahme geht einer Pf&amp;auml;ndung oder einem Konkursbeschlag vor. Daher ist kein betreibungsrechtliches Einleitungsverfahren durchzuf&amp;uuml;hren; vielmehr ist direkt das Verwertungsgesuch zu stellen. F&amp;uuml;r die Verwertung sind aber die Regeln des betreibungsrechtlichen Verwertungsverfahrens anwendbar; sie hat durch das hierf&amp;uuml;r zust&amp;auml;ndige Betreibungsamt zu geschehen (E. 3.2).</w:t>
      </w:r>
    </w:p>
    <w:p>
      <w:pPr>
        <w:pStyle w:val="Heading2"/>
      </w:pPr>
      <w:r>
        <w:t>Volltext</w:t>
      </w:r>
    </w:p>
    <w:p>
      <w:r>
        <w:t>Schaffhausen Obergericht 26.02.2019 93/2016/15</w:t>
      </w:r>
    </w:p>
    <w:p>
      <w:r>
        <w:t>Schaffhouse Obergericht 26.02.2019 93/2016/15</w:t>
      </w:r>
    </w:p>
    <w:p>
      <w:r>
        <w:t>Sciaffusa Obergericht 26.02.2019 93/2016/15</w:t>
      </w:r>
    </w:p>
    <w:p>
      <w:r>
        <w:t>Verwertung strafrechtlich eingezogener Vermögenswerte; Zuständigkeit und anwendbares Verfahren – Art. 17 Abs. 1, Art. 44, Art. 120 und Art. 155 Abs. 2 SchKG; Art. 70 Abs. 1 StGB; Art. 442 Abs. 1 StPO; § 2 Abs. 2 JVV. | Die Mitteilung eines Verwertungsbegehrens ist keine Betreibungshandlung. Sie stellt jedoch unter Umst&amp;auml;nden einen beschwerdef&amp;auml;higen Entscheid mit Aussenwirkung f&amp;uuml;r das gew&amp;auml;hlte Verfahren dar (E. 2.3). Die nach der strafrechtlichen gerichtlichen Einziehung von Verm&amp;ouml;genswerten noch erforderlichen Inkassohandlungen &amp;ndash; einschliesslich Verwertungsgesuch &amp;ndash; obliegen im Kanton Schaffhausen der Finanzverwaltung (E. 3.1). Die strafrechtliche Beschlagnahme geht einer Pf&amp;auml;ndung oder einem Konkursbeschlag vor. Daher ist kein betreibungsrechtliches Einleitungsverfahren durchzuf&amp;uuml;hren; vielmehr ist direkt das Verwertungsgesuch zu stellen. F&amp;uuml;r die Verwertung sind aber die Regeln des betreibungsrechtlichen Verwertungsverfahrens anwendbar; sie hat durch das hierf&amp;uuml;r zust&amp;auml;ndige Betreibungsamt zu geschehen (E. 3.2).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