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60/2019/34 vom 13. März 2020</w:t>
      </w:r>
    </w:p>
    <w:p>
      <w:r>
        <w:t>Sh Obergericht, 2020-03-13, DE</w:t>
      </w:r>
    </w:p>
    <w:p>
      <w:r>
        <w:rPr>
          <w:b/>
        </w:rPr>
        <w:t xml:space="preserve">Quelle: </w:t>
      </w:r>
      <w:r>
        <w:t>https://mcp.opencaselaw.ch/entscheid/sh_obergericht_60_2019_34</w:t>
      </w:r>
    </w:p>
    <w:p>
      <w:r>
        <w:t>FR: SH_OBERGERICHT 60/2019/34 du 13 mars 2020</w:t>
      </w:r>
    </w:p>
    <w:p>
      <w:r>
        <w:t>IT: SH_OBERGERICHT 60/2019/34 del 13 marzo 2020</w:t>
      </w:r>
    </w:p>
    <w:p>
      <w:pPr>
        <w:pStyle w:val="Heading2"/>
      </w:pPr>
      <w:r>
        <w:t>Regeste</w:t>
      </w:r>
    </w:p>
    <w:p>
      <w:r>
        <w:t>Widerhandlung gegen die Strassenverkehrsvorschriften; Kaskadensystem; Mindestentzugsdauer – Art. 49 StGB; Art. 16, Art. 16b Abs. 1 lit. a und Abs. 2 sowie Art. 16c Abs. 1 lit. a SVG | Qualifikation eines Auffahrunfalls als mittelschwere Widerhandlung gegen die Strassenverkehrsvorschriften (E. 3). F&amp;uuml;r die Einordnung in das Kaskadensystem von Art. 16b Abs. 2 SVG ist auf die vorangegangenen effektiv verf&amp;uuml;gten F&amp;uuml;hrerausweisentz&amp;uuml;ge abzustellen. Dass bei der gleichzeitigen Beurteilung mehrerer Widerhandlungen Art. 49 StGB sinngem&amp;auml;ss anzuwenden ist, &amp;auml;ndert an der r&amp;uuml;ckblickenden Betrachtung bei der Einordnung in das Kaskadensystem nichts (E. 4). Der Sicherungsentzug gem&amp;auml;ss Art. 16b Abs. 2 lit. e SVG ist auf unbestimmte Zeit auszusprechen und mit einer gesetzlichen Sperrfrist von mindestens zwei Jahren zu verbinden (E. 5).</w:t>
      </w:r>
    </w:p>
    <w:p>
      <w:pPr>
        <w:pStyle w:val="Heading2"/>
      </w:pPr>
      <w:r>
        <w:t>Volltext</w:t>
      </w:r>
    </w:p>
    <w:p>
      <w:r>
        <w:t>Schaffhausen Obergericht 13.03.2020 60/2019/34 Schaffhouse Obergericht 13.03.2020 60/2019/34 Sciaffusa Obergericht 13.03.2020 60/2019/34</w:t>
      </w:r>
    </w:p>
    <w:p>
      <w:r>
        <w:t>Widerhandlung gegen die Strassenverkehrsvorschriften; Kaskadensystem; Mindestentzugsdauer – Art. 49 StGB; Art. 16, Art. 16b Abs. 1 lit. a und Abs. 2 sowie Art. 16c Abs. 1 lit. a SVG | Qualifikation eines Auffahrunfalls als mittelschwere Widerhandlung gegen die Strassenverkehrsvorschriften (E. 3). F&amp;uuml;r die Einordnung in das Kaskadensystem von Art. 16b Abs. 2 SVG ist auf die vorangegangenen effektiv verf&amp;uuml;gten F&amp;uuml;hrerausweisentz&amp;uuml;ge abzustellen. Dass bei der gleichzeitigen Beurteilung mehrerer Widerhandlungen Art. 49 StGB sinngem&amp;auml;ss anzuwenden ist, &amp;auml;ndert an der r&amp;uuml;ckblickenden Betrachtung bei der Einordnung in das Kaskadensystem nichts (E. 4). Der Sicherungsentzug gem&amp;auml;ss Art. 16b Abs. 2 lit. e SVG ist auf unbestimmte Zeit auszusprechen und mit einer gesetzlichen Sperrfrist von mindestens zwei Jahren zu verbinden (E. 5).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