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60/2019/17 vom 22. Oktober 2019</w:t>
      </w:r>
    </w:p>
    <w:p>
      <w:r>
        <w:t>Sh Obergericht, 2019-10-22, DE</w:t>
      </w:r>
    </w:p>
    <w:p>
      <w:r>
        <w:rPr>
          <w:b/>
        </w:rPr>
        <w:t xml:space="preserve">Quelle: </w:t>
      </w:r>
      <w:r>
        <w:t>https://mcp.opencaselaw.ch/entscheid/sh_obergericht_60_2019_17</w:t>
      </w:r>
    </w:p>
    <w:p>
      <w:r>
        <w:t>FR: SH_OBERGERICHT 60/2019/17 du 22 octobre 2019</w:t>
      </w:r>
    </w:p>
    <w:p>
      <w:r>
        <w:t>IT: SH_OBERGERICHT 60/2019/17 del 22 ottobre 2019</w:t>
      </w:r>
    </w:p>
    <w:p>
      <w:pPr>
        <w:pStyle w:val="Heading2"/>
      </w:pPr>
      <w:r>
        <w:t>Regeste</w:t>
      </w:r>
    </w:p>
    <w:p>
      <w:r>
        <w:t>Submission; Unabänderbarkeit des Angebots nach Ablauf der Eingabefrist; Berichtigung und Erläuterung; Erklärungsirrtum; Ausschluss vom Verfahren; Umtriebsentschädigung – Art. 23 und Art. 25 Abs. 2 OR; Art. 95 Abs. 3 lit. c ZPO; Art. 1 Abs. 3 lit. b und Art. 18 Abs. 1 IVöB; Art. 23 Abs. 4, Art. 27 lit. h, Art. 28 Abs. 2 und Art. 29 Abs. 1 VRöB. | Nach Ablauf der Eingabefrist d&amp;uuml;rfen nur offensichtliche Irrt&amp;uuml;mer und Fehler im Angebot korrigiert werden. Ein Fehler ist nur dann offensichtlich, wenn er sich schon aus dem Angebot selber ergibt, ohne dass es eines Hinweises oder sonstiger Erl&amp;auml;uterungen der Anbieterin bed&amp;uuml;rfte (E. 3). Liegt kein offensichtlicher, korrigierbarer Fehler vor, k&amp;ouml;nnen sich die Anbieterin oder die Vergabestelle nicht auf einen Erkl&amp;auml;rungsirrtum der Anbieterin berufen, soweit dadurch das Angebot nach Ablauf der Eingabefrist inhaltlich abge&amp;auml;ndert w&amp;uuml;rde (E. 3.2.2). Weicht ein Angebot von den inhaltlichen Vorgaben der Ausschreibung ab, ist ein strenger Massstab anzulegen. Ausschluss vom Verfahren wegen ausschreibungswidrigem Angebot bejaht (E. 4.1 und E. 4.2). Keine ausnahmsweise Zusprechung einer Umtriebsentsch&amp;auml;digung (E. 6.2).</w:t>
      </w:r>
    </w:p>
    <w:p>
      <w:pPr>
        <w:pStyle w:val="Heading2"/>
      </w:pPr>
      <w:r>
        <w:t>Volltext</w:t>
      </w:r>
    </w:p>
    <w:p>
      <w:r>
        <w:t>Schaffhausen Obergericht 22.10.2019 60/2019/17 Schaffhouse Obergericht 22.10.2019 60/2019/17 Sciaffusa Obergericht 22.10.2019 60/2019/17</w:t>
      </w:r>
    </w:p>
    <w:p>
      <w:r>
        <w:t>Submission; Unabänderbarkeit des Angebots nach Ablauf der Eingabefrist; Berichtigung und Erläuterung; Erklärungsirrtum; Ausschluss vom Verfahren; Umtriebsentschädigung – Art. 23 und Art. 25 Abs. 2 OR; Art. 95 Abs. 3 lit. c ZPO; Art. 1 Abs. 3 lit. b und Art. 18 Abs. 1 IVöB; Art. 23 Abs. 4, Art. 27 lit. h, Art. 28 Abs. 2 und Art. 29 Abs. 1 VRöB. | Nach Ablauf der Eingabefrist d&amp;uuml;rfen nur offensichtliche Irrt&amp;uuml;mer und Fehler im Angebot korrigiert werden. Ein Fehler ist nur dann offensichtlich, wenn er sich schon aus dem Angebot selber ergibt, ohne dass es eines Hinweises oder sonstiger Erl&amp;auml;uterungen der Anbieterin bed&amp;uuml;rfte (E. 3). Liegt kein offensichtlicher, korrigierbarer Fehler vor, k&amp;ouml;nnen sich die Anbieterin oder die Vergabestelle nicht auf einen Erkl&amp;auml;rungsirrtum der Anbieterin berufen, soweit dadurch das Angebot nach Ablauf der Eingabefrist inhaltlich abge&amp;auml;ndert w&amp;uuml;rde (E. 3.2.2). Weicht ein Angebot von den inhaltlichen Vorgaben der Ausschreibung ab, ist ein strenger Massstab anzulegen. Ausschluss vom Verfahren wegen ausschreibungswidrigem Angebot bejaht (E. 4.1 und E. 4.2). Keine ausnahmsweise Zusprechung einer Umtriebsentsch&amp;auml;digung (E. 6.2).</w:t>
      </w:r>
    </w:p>
    <w:p>
      <w:r>
        <w:t>Schaffhausen Obergericht Schaffhouse Obergericht Sciaffusa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