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50/2019/22 vom 29. Juni 2021</w:t>
      </w:r>
    </w:p>
    <w:p>
      <w:r>
        <w:t>Sh Obergericht, 2021-06-29, DE</w:t>
      </w:r>
    </w:p>
    <w:p>
      <w:r>
        <w:rPr>
          <w:b/>
        </w:rPr>
        <w:t xml:space="preserve">Quelle: </w:t>
      </w:r>
      <w:r>
        <w:t>https://mcp.opencaselaw.ch/entscheid/sh_obergericht_50_2019_22</w:t>
      </w:r>
    </w:p>
    <w:p>
      <w:r>
        <w:t>FR: SH_OBERGERICHT 50/2019/22 du 29 juin 2021</w:t>
      </w:r>
    </w:p>
    <w:p>
      <w:r>
        <w:t>IT: SH_OBERGERICHT 50/2019/22 del 29 giugno 2021</w:t>
      </w:r>
    </w:p>
    <w:p>
      <w:pPr>
        <w:pStyle w:val="Heading2"/>
      </w:pPr>
      <w:r>
        <w:t>Regeste</w:t>
      </w:r>
    </w:p>
    <w:p>
      <w:r>
        <w:t>Führen eines Motorfahrzeugs in fahrunfähigem Zustand; Sekundenschlaf – Art. 91 Abs. 2 lit. b i.V.m. Art. 100 Ziff. 1 SVG; Art. 31 Abs. 2 SVG i.V.m. Art. 2 Abs. 1 VRV. | Die eigentliche Ursache einer Fahrunf&amp;auml;higkeit "aus anderen Gr&amp;uuml;nden" muss nicht nachgewiesen werden. Wird aber bei der rechtlichen W&amp;uuml;rdigung der Sekundenschlaf bzw. die &amp;Uuml;berm&amp;uuml;dung als erstellt vorausgesetzt und die fahrl&amp;auml;ssige Tatbegehung damit begr&amp;uuml;ndet, dass vor einem Sekundenschlaf immer erkennbare Erm&amp;uuml;dungserscheinungen auftreten, so muss der Sekundenschlaf bzw. die M&amp;uuml;digkeit als Ursache der Fahrunf&amp;auml;higkeit bewiesen sein (E. 3.6). Der Sekundenschlaf kann h&amp;auml;ufig nur anhand des konkreten Unfallhergangs und weiterer Indizien bewiesen werden. Typische Merkmale von Einschlafunf&amp;auml;llen (E. 3.6.1). Fahrl&amp;auml;ssiges Fahren in fahrunf&amp;auml;higem Zustand (E. 4.2). OGE 50/2019/22 vom 29. Juni 2021 (Eine Beschwerde in Strafsachen gegen diesen Entscheid ist vor Bundesgericht noch h&amp;auml;ngig [Verfahren BGer 6B_1370/2021]). Keine Ver&amp;ouml;ffentlichung im Amtsbericht</w:t>
      </w:r>
    </w:p>
    <w:p>
      <w:pPr>
        <w:pStyle w:val="Heading2"/>
      </w:pPr>
      <w:r>
        <w:t>Volltext</w:t>
      </w:r>
    </w:p>
    <w:p>
      <w:r>
        <w:t>Schaffhausen Obergericht 29.06.2021 50/2019/22 Schaffhouse Obergericht 29.06.2021 50/2019/22 Sciaffusa Obergericht 29.06.2021 50/2019/22</w:t>
      </w:r>
    </w:p>
    <w:p>
      <w:r>
        <w:t>Führen eines Motorfahrzeugs in fahrunfähigem Zustand; Sekundenschlaf – Art. 91 Abs. 2 lit. b i.V.m. Art. 100 Ziff. 1 SVG; Art. 31 Abs. 2 SVG i.V.m. Art. 2 Abs. 1 VRV. | Die eigentliche Ursache einer Fahrunf&amp;auml;higkeit "aus anderen Gr&amp;uuml;nden" muss nicht nachgewiesen werden. Wird aber bei der rechtlichen W&amp;uuml;rdigung der Sekundenschlaf bzw. die &amp;Uuml;berm&amp;uuml;dung als erstellt vorausgesetzt und die fahrl&amp;auml;ssige Tatbegehung damit begr&amp;uuml;ndet, dass vor einem Sekundenschlaf immer erkennbare Erm&amp;uuml;dungserscheinungen auftreten, so muss der Sekundenschlaf bzw. die M&amp;uuml;digkeit als Ursache der Fahrunf&amp;auml;higkeit bewiesen sein (E. 3.6).</w:t>
      </w:r>
    </w:p>
    <w:p>
      <w:r>
        <w:t>Der Sekundenschlaf kann h&amp;auml;ufig nur anhand des konkreten Unfallhergangs und weiterer Indizien bewiesen werden. Typische Merkmale von Einschlafunf&amp;auml;llen (E. 3.6.1).</w:t>
      </w:r>
    </w:p>
    <w:p>
      <w:r>
        <w:t>Fahrl&amp;auml;ssiges Fahren in fahrunf&amp;auml;higem Zustand (E. 4.2).</w:t>
      </w:r>
    </w:p>
    <w:p>
      <w:r>
        <w:t>OGE 50/2019/22 vom 29. Juni 2021</w:t>
      </w:r>
    </w:p>
    <w:p>
      <w:r>
        <w:t>(Eine Beschwerde in Strafsachen gegen diesen Entscheid ist vor Bundesgericht noch h&amp;auml;ngig [Verfahren BGer 6B_1370/2021]).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