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50/2018/33 vom 9. April 2019</w:t>
      </w:r>
    </w:p>
    <w:p>
      <w:r>
        <w:t>Sh Obergericht, 2019-04-09, DE</w:t>
      </w:r>
    </w:p>
    <w:p>
      <w:r>
        <w:rPr>
          <w:b/>
        </w:rPr>
        <w:t xml:space="preserve">Quelle: </w:t>
      </w:r>
      <w:r>
        <w:t>https://mcp.opencaselaw.ch/entscheid/sh_obergericht_50_2018_33</w:t>
      </w:r>
    </w:p>
    <w:p>
      <w:r>
        <w:t>FR: SH_OBERGERICHT 50/2018/33 du 9 avril 2019</w:t>
      </w:r>
    </w:p>
    <w:p>
      <w:r>
        <w:t>IT: SH_OBERGERICHT 50/2018/33 del 9 aprile 2019</w:t>
      </w:r>
    </w:p>
    <w:p>
      <w:pPr>
        <w:pStyle w:val="Heading2"/>
      </w:pPr>
      <w:r>
        <w:t>Regeste</w:t>
      </w:r>
    </w:p>
    <w:p>
      <w:r>
        <w:t>Obligatorische Landesverweisung; Härtefallprüfung – Art. 66a Abs. 2 StGB. | Kriterien und Vorgehensweise bei der Pr&amp;uuml;fung eines H&amp;auml;rtefalls im Rahmen der obligatorischen Landesverweisung (E. 9.4 &amp;ndash; 9.7). Ausschreibung der Landesverweisung im Schengener Informationssystem (SIS; E. 9.8).</w:t>
      </w:r>
    </w:p>
    <w:p>
      <w:pPr>
        <w:pStyle w:val="Heading2"/>
      </w:pPr>
      <w:r>
        <w:t>Volltext</w:t>
      </w:r>
    </w:p>
    <w:p>
      <w:r>
        <w:t>Schaffhausen Obergericht 09.04.2019 50/2018/33 Schaffhouse Obergericht 09.04.2019 50/2018/33 Sciaffusa Obergericht 09.04.2019 50/2018/33</w:t>
      </w:r>
    </w:p>
    <w:p>
      <w:r>
        <w:t>Obligatorische Landesverweisung; Härtefallprüfung – Art. 66a Abs. 2 StGB. | Kriterien und Vorgehensweise bei der Pr&amp;uuml;fung eines H&amp;auml;rtefalls im Rahmen der obligatorischen Landesverweisung (E. 9.4 &amp;ndash; 9.7). Ausschreibung der Landesverweisung im Schengener Informationssystem (SIS; E. 9.8).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