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50/2017/23 vom 27. Juni 2018</w:t>
      </w:r>
    </w:p>
    <w:p>
      <w:r>
        <w:t>Sh Obergericht, 2018-06-27, DE</w:t>
      </w:r>
    </w:p>
    <w:p>
      <w:r>
        <w:rPr>
          <w:b/>
        </w:rPr>
        <w:t xml:space="preserve">Quelle: </w:t>
      </w:r>
      <w:r>
        <w:t>https://mcp.opencaselaw.ch/entscheid/sh_obergericht_50_2017_23</w:t>
      </w:r>
    </w:p>
    <w:p>
      <w:r>
        <w:t>FR: SH_OBERGERICHT 50/2017/23 du 27 juin 2018</w:t>
      </w:r>
    </w:p>
    <w:p>
      <w:r>
        <w:t>IT: SH_OBERGERICHT 50/2017/23 del 27 giugno 2018</w:t>
      </w:r>
    </w:p>
    <w:p>
      <w:pPr>
        <w:pStyle w:val="Heading2"/>
      </w:pPr>
      <w:r>
        <w:t>Regeste</w:t>
      </w:r>
    </w:p>
    <w:p>
      <w:r>
        <w:t>Mord, Totschlag; Notwehr, Notwehrhilfe; Rückzug der Straf- und Zivilklage – Art. 15, Art. 16, Art. 112 und Art. 113 StGB; Art. 404 StPO. | Der R&amp;uuml;ckzug der Straf- und Zivilklage im Berufungsverfahren wirkt sich nicht auf die der Beschuldigten zur Last gelegten Straftatbest&amp;auml;nde der N&amp;ouml;tigung und der T&amp;auml;tlichkeiten aus, welche sie gegen&amp;uuml;ber der Privatkl&amp;auml;gerin ver&amp;uuml;bt hatte (E. 2.1&amp;ndash;2.4.2). Der Mord unterscheidet sich von der vors&amp;auml;tzlichen T&amp;ouml;tung dadurch, dass der T&amp;auml;ter besonders skrupellos gehandelt hat. F&amp;uuml;r die Qualifikation verweist das Gesetz in nicht abschliessender Aufz&amp;auml;hlung auf &amp;auml;ussere (Ausf&amp;uuml;hrung) und innere Merkmale (Beweggrund, Zweck). Es ist eine Gesamtw&amp;uuml;rdigung aller Tatumst&amp;auml;nde vorzunehmen. Vorliegend ist das Element der besonders verwerflichen Tatausf&amp;uuml;hrung gegeben (E. 6.1.1&amp;ndash;6.2.4.1). Pr&amp;uuml;fung der Rechtfertigungsgr&amp;uuml;nde der Notwehr und der Notwehrhilfe (E. 6.3.1.1&amp;ndash;6.3.3.3). Der Tatbestand des Totschlags setzt voraus, dass die heftige Gem&amp;uuml;tsbewegung entschuldbar ist. Dies ist ausgeschlossen, wenn der T&amp;auml;ter besonders skrupellos handelte (E. 6.4.1&amp;ndash;6.4.3).</w:t>
      </w:r>
    </w:p>
    <w:p>
      <w:pPr>
        <w:pStyle w:val="Heading2"/>
      </w:pPr>
      <w:r>
        <w:t>Volltext</w:t>
      </w:r>
    </w:p>
    <w:p>
      <w:r>
        <w:t>Schaffhausen Obergericht 27.06.2018 50/2017/23 Schaffhouse Obergericht 27.06.2018 50/2017/23 Sciaffusa Obergericht 27.06.2018 50/2017/23</w:t>
      </w:r>
    </w:p>
    <w:p>
      <w:r>
        <w:t>Mord, Totschlag; Notwehr, Notwehrhilfe; Rückzug der Straf- und Zivilklage – Art. 15, Art. 16, Art. 112 und Art. 113 StGB; Art. 404 StPO. | Der R&amp;uuml;ckzug der Straf- und Zivilklage im Berufungsverfahren wirkt sich nicht auf die der Beschuldigten zur Last gelegten Straftatbest&amp;auml;nde der N&amp;ouml;tigung und der T&amp;auml;tlichkeiten aus, welche sie gegen&amp;uuml;ber der Privatkl&amp;auml;gerin ver&amp;uuml;bt hatte (E. 2.1&amp;ndash;2.4.2). Der Mord unterscheidet sich von der vors&amp;auml;tzlichen T&amp;ouml;tung dadurch, dass der T&amp;auml;ter besonders skrupellos gehandelt hat. F&amp;uuml;r die Qualifikation verweist das Gesetz in nicht abschliessender Aufz&amp;auml;hlung auf &amp;auml;ussere (Ausf&amp;uuml;hrung) und innere Merkmale (Beweggrund, Zweck). Es ist eine Gesamtw&amp;uuml;rdigung aller Tatumst&amp;auml;nde vorzunehmen. Vorliegend ist das Element der besonders verwerflichen Tatausf&amp;uuml;hrung gegeben (E. 6.1.1&amp;ndash;6.2.4.1). Pr&amp;uuml;fung der Rechtfertigungsgr&amp;uuml;nde der Notwehr und der Notwehrhilfe (E. 6.3.1.1&amp;ndash;6.3.3.3). Der Tatbestand des Totschlags setzt voraus, dass die heftige Gem&amp;uuml;tsbewegung entschuldbar ist. Dies ist ausgeschlossen, wenn der T&amp;auml;ter besonders skrupellos handelte (E. 6.4.1&amp;ndash;6.4.3).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