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40/2002/32 vom 14. März 2003</w:t>
      </w:r>
    </w:p>
    <w:p>
      <w:r>
        <w:t>Sh Obergericht, 2003-03-14, DE</w:t>
      </w:r>
    </w:p>
    <w:p>
      <w:r>
        <w:rPr>
          <w:b/>
        </w:rPr>
        <w:t xml:space="preserve">Quelle: </w:t>
      </w:r>
      <w:r>
        <w:t>https://mcp.opencaselaw.ch/entscheid/sh_obergericht_40_2002_32</w:t>
      </w:r>
    </w:p>
    <w:p>
      <w:r>
        <w:t>FR: SH_OBERGERICHT 40/2002/32 du 14 mars 2003</w:t>
      </w:r>
    </w:p>
    <w:p>
      <w:r>
        <w:t>IT: SH_OBERGERICHT 40/2002/32 del 14 marzo 2003</w:t>
      </w:r>
    </w:p>
    <w:p>
      <w:pPr>
        <w:pStyle w:val="Heading2"/>
      </w:pPr>
      <w:r>
        <w:t>Regeste</w:t>
      </w:r>
    </w:p>
    <w:p>
      <w:r>
        <w:t>Art. 271 Abs. 1 Ziff. 2 und Abs. 2 sowie Art. 274 Abs. 2 Ziff. 2 SchKG. | Verarrestierung k&amp;uuml;nftiger Unterhaltsbeitr&amp;auml;ge beim Fluchtarrest</w:t>
      </w:r>
    </w:p>
    <w:p>
      <w:pPr>
        <w:pStyle w:val="Heading2"/>
      </w:pPr>
      <w:r>
        <w:t>Erwägungen</w:t>
      </w:r>
    </w:p>
    <w:p>
      <w:r>
        <w:rPr>
          <w:b/>
        </w:rPr>
        <w:t>E. 1</w:t>
      </w:r>
    </w:p>
    <w:p>
      <w:r>
        <w:t>Art. 271 Abs. 1 Ziff. 2 und Abs. 2 sowie Art. 274 Abs. 2 Ziff. 2 SchKG. Verarrestierung künftiger Unterhaltsbeiträge beim Fluchtarrest (Ent- scheid des Obergerichts Nr. 40/2002/32 vom 14. März 2003 i.S. Y.).</w:t>
      </w:r>
    </w:p>
    <w:p>
      <w:r>
        <w:t>Der Fluchtarrest kann grundsätzlich auch künftige – d.h. vorbehältlich einer Aufhebung oder Herabsetzung bereits bestehende, aber noch nicht fäl- lige – Unterhaltsbeiträge erfassen.</w:t>
      </w:r>
    </w:p>
    <w:p>
      <w:r>
        <w:t>Die Verarrestierung künftiger Unterhaltbeiträge ist als Spezialfall vor- sorglicher Sicherstellung zu betrachten. Die Arrestforderung kann denn auch ein auf Sicherheitsleistung in Geld gerichteter Anspruch sein; dies ist im Arrestbefehl anzugeben.</w:t>
      </w:r>
    </w:p>
    <w:p>
      <w:r>
        <w:t>Im Scheidungsurteil der Eheleute X.-Y. wurde der Ehemann verpflichtet, der Ehefrau eine unbefristete Unterhaltsersatz- und Entschädigungsrente zu bezahlen. Nachdem X. von seinem bisherigen schweizerischen Wohnsitz weggezogen war, stellte Y. beim Kantonsgericht das Gesuch, alles Vermögen des X. bei der Bank Z. bis zu einem Betrag von Fr. 349'000.– zu verarrestie- ren; sie erhöhte in der Folge die beantragte Arrestsumme um Fr. 22'500.–. Die Einzelrichterin des Kantonsgericht wies das Arrestgesuch ab. Einen hiegegen gerichteten Rekurs von Y. hiess das Obergericht teilweise gut; es bewilligte Y. den Arrest für Fr. 10'500.– (Rentenanspruch von Oktober 2002 bis März 2003) sowie Fr. 343'500.– (als Sicherheitsleistung für den Rentenanspruch ab April 2003).</w:t>
      </w:r>
    </w:p>
    <w:p>
      <w:r>
        <w:t>Aus den Erwägungen:</w:t>
      </w:r>
    </w:p>
    <w:p>
      <w:r>
        <w:rPr>
          <w:b/>
        </w:rPr>
        <w:t>E. 3</w:t>
      </w:r>
    </w:p>
    <w:p>
      <w:r>
        <w:t>kurseröffnung, die gegenüber der Konkursmasse ebenfalls die Fälligkeit der Schuldverpflichtungen des Schuldners bewirkt [Art. 208 Abs. 1 SchKG], nicht nur den erwähnten BGE 40 III 457 f., sondern auch die neuere Lehre: Amonn/Gasser, Grundriss des Schuldbetreibungs- und Konkursrechts, 6. A., Bern 1997, § 42 N. 22, S. 336; Renate Schwob in: Staehelin/Bauer/Staehelin [Hrsg.], Kommentar zum Bundesgesetz über Schuldbetreibung und Konkurs, SchKG II, Basel/Genf/München 1998, Art. 210 N. 5, S. 1988, mit Hinweis; Jaeger/Walder/Kull/Kottmann, Bundesgesetz über Schuldbetreibung und Konkurs, 4. A., Zürich 1997/99, Band II, Art. 210 N. 1, S. 231, N. 10, S. 233). Die Verarrestierung von Unterhaltbeiträgen ist daher – soweit es die künf- tigen Beiträge betrifft – insbesondere mit Blick auf die neueren und spezielle- ren einschlägigen Bestimmungen des Zivilrechts (wie Art. 132 Abs. 2 ZGB) nur, aber immerhin als ein Spezialfall vorsorglicher Sicherstellung zu betrach- ten; der insoweit eingeschränkte Anspruch der Rekurrentin wird als "minus" von deren Begehren erfasst (vgl. Sutter/Freiburghaus, Kommentar zum neuen Scheidungsrecht, Zürich 1999, Art. 132 N. 41, S. 372; ZR 1990 Nr. 113 E. 2; zum Verhältnis zwischen Betreibungsrecht und Zivilrecht: Peter Breitschmid, Sicherstellung künftiger Unterhaltsbeiträge [Art. 292 ZGB], ZVW 1990, S. 3, mit Hinweisen). Die für einen Arrest vorausgesetzte Forderung kann denn auch ein auf Sicherheitsleistung in Geld gerichteter Anspruch sein (Amonn/ Gasser, § 51 N. 5, S. 407). Dies ist im Arrestbefehl anzugeben, auch wenn dies aus dem Gesetzeswortlaut nicht ohne weiteres hervorgeht (vgl. Art. 274 Abs. 2 Ziff. 2 SchKG; vgl. jedoch BGE 93 III 79 mit Hinweis auf Art. 67 Abs. 1 Ziff. 3 und Art. 69 Abs. 2 Ziff. 2 SchKG; vgl. auch ZR 1990 Nr. 113 E. 2b und c). Der Arrest ist sodann bezüglich der künftigen Beiträge nicht auf direkte Zahlung, sondern auf Sicherheitsleistung zu prosequieren (vgl. Sut- ter/Freiburghaus, Art. 132 N. 44, S. 373, mit Hinweis; Breitschmid, S. 6).</w:t>
      </w:r>
    </w:p>
    <w:p>
      <w:r>
        <w:t>In diesem eingeschränkten Sinn umfasst die hier in Frage stehende Ar- restforderung auch die künftigen Unterhaltsbeiträge. Es spricht grundsätzlich nichts dagegen, für die mutmassliche Dauer der Unterhaltspflicht auf die mitt- lere Lebenserwartung des Gesuchsgegners abzustellen ...</w:t>
      </w:r>
    </w:p>
    <w:p>
      <w:r>
        <w:t>f) ...</w:t>
      </w:r>
    </w:p>
    <w:p>
      <w:r>
        <w:t>g) Der Rekurs erweist sich nach dem Gesagten als teilweise begründet; die angefochtene Verfügung ist aufzuheben, und der Arrestbefehl ist im ge- nannten Sinn und Umfang zu erteilen (Art. 362 ZPO i.V.m. Art. 274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