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10/2023/17 vom 19. März 2024</w:t>
      </w:r>
    </w:p>
    <w:p>
      <w:r>
        <w:t>Sh Obergericht, 2024-03-19, DE</w:t>
      </w:r>
    </w:p>
    <w:p>
      <w:r>
        <w:rPr>
          <w:b/>
        </w:rPr>
        <w:t xml:space="preserve">Quelle: </w:t>
      </w:r>
      <w:r>
        <w:t>https://mcp.opencaselaw.ch/entscheid/sh_obergericht_10_2023_17</w:t>
      </w:r>
    </w:p>
    <w:p>
      <w:r>
        <w:t>FR: SH_OBERGERICHT 10/2023/17 du 19 mars 2024</w:t>
      </w:r>
    </w:p>
    <w:p>
      <w:r>
        <w:t>IT: SH_OBERGERICHT 10/2023/17 del 19 marzo 2024</w:t>
      </w:r>
    </w:p>
    <w:p>
      <w:pPr>
        <w:pStyle w:val="Heading2"/>
      </w:pPr>
      <w:r>
        <w:t>Regeste</w:t>
      </w:r>
    </w:p>
    <w:p>
      <w:r>
        <w:t>Missbräuchlichkeit der Kündigung; Störung des Hausfriedens – Art. 271 Abs. 1 OR. | Der Wunsch der Vermieterschaft, den Hausfrieden unter der Mieterschaft wiederherzustellen, stellt ein objektives, ernsthaftes und sch&amp;uuml;tzenswertes Interesse dar (E. 2.3.1). Entschliesst sich die Vermieterin mit dem Ziel der Wahrung des Hausfriedens zur K&amp;uuml;ndigung gegen einen oder mehrere Mieter, so darf sie sich bei der Auswahl des Mieters oder der Mieter nicht durch sachfremde Motive leiten lassen. Es besteht aber keine Pflicht der Vermieterin, den St&amp;ouml;rer unter der Mieterschaft bzw. die Ursache der St&amp;ouml;rung des Hausfriedens zu erforschen (E. 2.3.1). OGE 10/2023/17 vom 19. M&amp;auml;rz 2024 Keine Ver&amp;ouml;ffentlichung im Amtsbericht</w:t>
      </w:r>
    </w:p>
    <w:p>
      <w:pPr>
        <w:pStyle w:val="Heading2"/>
      </w:pPr>
      <w:r>
        <w:t>Volltext</w:t>
      </w:r>
    </w:p>
    <w:p>
      <w:r>
        <w:t>Schaffhausen Obergericht 19.03.2024 10/2023/17 Schaffhouse Obergericht 19.03.2024 10/2023/17 Sciaffusa Obergericht 19.03.2024 10/2023/17</w:t>
      </w:r>
    </w:p>
    <w:p>
      <w:r>
        <w:t>Missbräuchlichkeit der Kündigung; Störung des Hausfriedens – Art. 271 Abs. 1 OR. | Der Wunsch der Vermieterschaft, den Hausfrieden unter der Mieterschaft wiederherzustellen, stellt ein objektives, ernsthaftes und sch&amp;uuml;tzenswertes Interesse dar (E. 2.3.1).</w:t>
      </w:r>
    </w:p>
    <w:p>
      <w:r>
        <w:t>Entschliesst sich die Vermieterin mit dem Ziel der Wahrung des Hausfriedens zur K&amp;uuml;ndigung gegen einen oder mehrere Mieter, so darf sie sich bei der Auswahl des Mieters oder der Mieter nicht durch sachfremde Motive leiten lassen. Es besteht aber keine Pflicht der Vermieterin, den St&amp;ouml;rer unter der Mieterschaft bzw. die Ursache der St&amp;ouml;rung des Hausfriedens zu erforschen (E. 2.3.1).</w:t>
      </w:r>
    </w:p>
    <w:p>
      <w:r>
        <w:t>OGE 10/2023/17 vom 19. M&amp;auml;rz 2024</w:t>
      </w:r>
    </w:p>
    <w:p>
      <w:r>
        <w:t>Keine Ver&amp;ouml;ffentlichung im Amtsbericht</w:t>
      </w:r>
    </w:p>
    <w:p>
      <w:r>
        <w:t>Schaffhausen Obergericht Schaffhouse Obergericht Sciaffusa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