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ZZ.2006.36 vom 1. Juni 1990</w:t>
      </w:r>
    </w:p>
    <w:p>
      <w:r>
        <w:t>Sg Kantonsgericht, 1990-06-01, DE</w:t>
      </w:r>
    </w:p>
    <w:p>
      <w:r>
        <w:rPr>
          <w:b/>
        </w:rPr>
        <w:t xml:space="preserve">Quelle: </w:t>
      </w:r>
      <w:r>
        <w:t>https://mcp.opencaselaw.ch/entscheid/sg_publikationen_ZZ.2006.36</w:t>
      </w:r>
    </w:p>
    <w:p>
      <w:r>
        <w:t>FR: SG_KANTONSGERICHT ZZ.2006.36 du 1 juin 1990</w:t>
      </w:r>
    </w:p>
    <w:p>
      <w:r>
        <w:t>IT: SG_KANTONSGERICHT ZZ.2006.36 del 1 giugno 1990</w:t>
      </w:r>
    </w:p>
    <w:p>
      <w:pPr>
        <w:pStyle w:val="Heading2"/>
      </w:pPr>
      <w:r>
        <w:t>Regeste</w:t>
      </w:r>
    </w:p>
    <w:p>
      <w:r>
        <w:t>Art. 9 Abs. 1 lit. a ZPO (sGS 961.2); Art. 5 lit. b und c sowie 14 UWG (SR 241); Art. 2 Abs. 3, 6, 10 Abs. 1, 12 Abs. 2, 17 und 65 URG (SR 231.1); Art. 17 URV (SR 231.11); Art. 28c–28f ZGB (SR 210). Beurteilung eines Gesuchs um vorsorgliche Massnahmen durch den Präsidenten des Gerichts, bei dem der Hauptprozess hängig ist, sofern keine offensichtliche Unzuständigkeit vorliegt. Zulässigkeit der Nachreichung von Akten anlässlich der Verhandlung im vorsorglichen Massnahmeverfahren. Fehlendes Rechtsschutzinteresse mangels Dringlichkeit bzw. Verwirkung des (prozessualen) Anspruchs auf vorsorgliche Massnahmen bei langem Zuwarten. Schutzwürdigkeit eines Computerprogramms (Excelmakro) gemäss Urheberrecht: Durchführung eines Beweisverfahrens (Kurzgutachten). Schutzwürdigkeit eines Rohdatenformulars gemäss UWG. Teilweise Gutheissung des Gesuchs (Kantonsgericht St. Gallen, Präsident der III. Zivilkammer, 17. Juli 2007, ZZ.2006.36).Das Kassationsgericht hat dieses Urteil bestätigt (Urteil vom 24. Oktober 2007)</w:t>
      </w:r>
    </w:p>
    <w:p>
      <w:pPr>
        <w:pStyle w:val="Heading2"/>
      </w:pPr>
      <w:r>
        <w:t>Erwägungen</w:t>
      </w:r>
    </w:p>
    <w:p>
      <w:r>
        <w:rPr>
          <w:b/>
        </w:rPr>
        <w:t>E. 1</w:t>
      </w:r>
    </w:p>
    <w:p>
      <w:r>
        <w:t>Die Gesuchstellerin ist im Bereich der Messtechnik tätig. Sie führt Mess- und Servicearbeiten an Anlagen durch und handelt mit Komponenten, für welche sie auch Beratung anbietet (vgl. Art. 2 Abs. 1 der Statuten = gst.act. 1.002). Am 1. Juni 1990 nahm B, heute Inhaber der Gesuchsgegnerin, seine Arbeit bei der Gesuchstellerin auf (vgl. gst.act. 1.004). Am 26. Mai 2003 kündigte B seinen Arbeitsvertrag auf den 31. August 2003 (vgl. gst.act. 1.005). Am 31. Mai 2003 wurde er von der Gesuchstellerin, die ihm vorwirft, Geschäfte auf eigene Rechnung ausgeübt, Kunden auf eigenen Namen akquiriert sowie Mitarbeiter abgeworben zu haben, fristlos entlassen (vgl. gst.act. 1.006). Am 5. Juni 2003 (Handelsregistereintrag vom 6. Juni 2003: vgl. gst.act. 2.001) gründete B zusammen mit C die Gesuchsgegnerin, die im gleichen Bereich wie die Gesuchstellerin tätig ist (vgl. gst.act. 2.001).</w:t>
      </w:r>
    </w:p>
    <w:p>
      <w:r>
        <w:rPr>
          <w:b/>
        </w:rPr>
        <w:t>E. 2</w:t>
      </w:r>
    </w:p>
    <w:p>
      <w:r>
        <w:t>Am 14. März 2006 reichte die Gesuchstellerin beim Kantonsgericht Klage gegen die Gesuchsgegnerin ein (act. D/1), in deren Rahmen sie auch um Anordnung vorsorglicher Massnahmen ersuchte (vgl. Ziff. 3 der Rechtsbegehren). Ferner beantragte sie, die sachliche Zuständigkeit durch Vorlage an das Kassationsgericht zu klären, falls diese Frage umstritten sei (Ziff. 4 der Rechtsbegehren). Mit Eingabe vom 13. April 2006 (act. D/8) ersuchte die Gesuchsgegnerin den Präsidenten, im Verfahren um Erlass vorsorglicher Massnahmen im Rahmen eines Teilentscheids nach Art. 84 ZPO zunächst über die Eintretensfrage zu befinden. Mit Einschreiben vom 20. April 2006 (act. D/11) wurde der Gesuchsgegnerin mitgeteilt, dass die Voraussetzungen für den Erlass eines Teilentscheids nicht erfüllt seien (Näheres unten: Erw. II). Mit Gesuchsantwort vom 3. Mai 2006 (act. D/18) beantragte die Gesuchsgegnerin Nichteintreten auf das Gesuch bzw. dessen Abweisung.</w:t>
      </w:r>
    </w:p>
    <w:p>
      <w:r>
        <w:rPr>
          <w:b/>
        </w:rPr>
        <w:t>E. 3</w:t>
      </w:r>
    </w:p>
    <w:p>
      <w:r>
        <w:t>Das Nachreichen zusätzlicher Aktenstücke durch die Gesuchstellerin anlässlich der Verhandlung erweist sich einmal insoweit als unproblematisch, als sich die Gesuchsgegnerin selbst auf diese beruft. Dies trifft vorliegend für das Aktenstück gst.act. 4.003 zu. Auf dieses nahm die Gesuchsgegnerin im Rahmen ihres Parteivortrags an Schranken selbst Bezug, so dass dieses vorliegend zuzulassen ist. Hinsichtlich der übrigen Aktenstücke ist von Bedeutung, ob ihre Einreichung anlässlich der Verhandlung noch als rechtzeitig gelten kann. Das Summarverfahren ist in der ZPO nur rudimentär geregelt. Auch fehlt es - mit Ausnahme von Art. 201 ZPO - an einem Verweis, welche Verfahrensvorschriften mangels Spezialregelungen zur Anwendung gelangen (vgl. auch SCHNEIDER, Das summarische Verfahren nach sanktgallischem Zivilprozessrecht, Diss. Basel 1979, 29). Damit lässt sich dem Gesetz hinsichtlich der Frage, wann der Aktenschluss im Summarverfahren eintritt, keine Antwort entnehmen. Gestützt auf die geringere materielle Rechtskraftwirkung liesse sich mit Bezug auf die vorsorglichen Massnahmen grundsätzlich eine grosszügige Handhabung des Novenrechts rechtfertigen, da die strittigen Vorbringen bzw. Unterlagen in einem allfälligen Nachfolgeverfahren ohnehin zuzulassen wären (vgl. ZÜRCHER, Der Einzelrichter am Handelsgericht des Kantons Zürich, Zürich 1998, 212). Ebenso gut liesse sich mit diesem Argument, unter der Berücksichtigung, dass den Parteien ein potentielles Nachfolgeverfahren offen steht, aber auch eine strengere Handhabung des Novenrechts befürworten. So kann aus einer grosszügigen Zulassung von Noven an Schranken unter Umständen das Problem resultieren, dass der Gegenseite eine Stellungnahme nicht sofort zuzumuten ist, womit es zu einer weiteren Verzögerung des Verfahrens kommt, die sich mit dem im Summarverfahren verstärkt geltenden Beschleunigungsgebot schlecht verträgt. Vorliegend braucht die Frage nach dem Aktenschluss im Verfahren der vorsorglichen Massnahmen jedoch nicht abschliessend geklärt zu werden. Ob der Aktenschluss analog dem einfachen Verfahren oder gestützt auf die Vorschriften über das ordentliche Verfahren eintritt, erweist sich letztlich nämlich als unerheblich: Würde der Aktenschluss wie im einfachen Verfahren erst nach den mündlichen Parteivorträgen eintreten (vgl. Art. 178 Abs. 3 ZPO), wären die von der Gesuchstellerin an Schranken nachgereichten Akten ohne weiteres zuzulassen. Dasselbe würde aber auch gelten, wenn man den Aktenschluss - den Vorschriften über das ordentliche Verfahren entsprechend - mit dem vollendeten Schriftenwechsel eintreten liesse: Da vorliegend nur ein einfacher Schriftenwechsel durchgeführt wurde, stellen die ersten Parteivorträge Replik und Duplik dar. In Replik und Duplik können aber praxisgemäss noch Noven vorgebracht werden (vgl. LEUENBERGER/UFFER-TOBLER, a.a.O., N 1a zu Art. 163 ZPO). Damit sind die von der Gesuchstellerin an Schranken nachgereichten Aktenstücke grundsätzlich zuzulassen. Mit Schreiben vom 15. Mai 2007 (act. D/111) wurde der Gesuchsgegnerin sodann ausdrücklich nochmals die Gelegenheit eingeräumt, zu den von der Gesuchstellerin an Schranken eingereichten Akten Stellung zu nehmen. Das rechtliche Gehör wurde somit gewahrt, weshalb auch in dieser Hinsicht nichts gegen die Zulassung der von der Gesuchstellerin anlässlich der mündlichen Verhandlung eingereichten Akten spricht.</w:t>
      </w:r>
    </w:p>
    <w:p>
      <w:r>
        <w:rPr>
          <w:b/>
        </w:rPr>
        <w:t>E. 4</w:t>
      </w:r>
    </w:p>
    <w:p>
      <w:r>
        <w:t>Die Anordnung einer vorsorglichen Massnahme kann mit der Strafdrohung nach Art. 292 StGB verbunden werden (DAVID, a.a.O., 185). Dies wurde von der Gesuchstellerin vorliegend auch verlangt (vgl. Gesuch, 2 Ziff. I.1) und erscheint zudem als angemessen. Damit wird den Organen der Gesuchsgegnerin für den Fall der Zuwiderhandlung die Bestrafung mit Busse wegen Ungehorsams gegen eine amtliche Verfügung gemäss Art. 292 StGB angedroht.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