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ST.2014.107 vom 16. Juni 2015</w:t>
      </w:r>
    </w:p>
    <w:p>
      <w:r>
        <w:t>Sg Kantonsgericht, 2015-06-16, DE</w:t>
      </w:r>
    </w:p>
    <w:p>
      <w:r>
        <w:rPr>
          <w:b/>
        </w:rPr>
        <w:t xml:space="preserve">Quelle: </w:t>
      </w:r>
      <w:r>
        <w:t>https://mcp.opencaselaw.ch/entscheid/sg_publikationen_ST.2014.107</w:t>
      </w:r>
    </w:p>
    <w:p>
      <w:r>
        <w:t>FR: SG_KANTONSGERICHT ST.2014.107 du 16 juin 2015</w:t>
      </w:r>
    </w:p>
    <w:p>
      <w:r>
        <w:t>IT: SG_KANTONSGERICHT ST.2014.107 del 16 giugno 2015</w:t>
      </w:r>
    </w:p>
    <w:p>
      <w:pPr>
        <w:pStyle w:val="Heading2"/>
      </w:pPr>
      <w:r>
        <w:t>Regeste</w:t>
      </w:r>
    </w:p>
    <w:p>
      <w:r>
        <w:t>Art. 47 StGB (SR 311.0), Art. 90 Abs. 2 SVG (SR 741.01) Strafzumessung GeschwindigkeitsüberschreitungDie Strafmassempfehlungen der SSK haben lediglich Richtlinienfunktion und dienen dem Richter als Orientierungshilfe (E. III.3.).Strafzumessung bei einer Geschwindigkeitüberschreitung, die nur knapp unter einer Geschwindigkeitüberschreitung nach Art. 90 Abs. 4 SVG liegt (E. III.4.).Der drohende Entzug des Führerausweises im Administrativverfahren ist bei der Strafzumessung leicht strafmindernd in Betracht zu ziehen, insbesondere wenn die beschuldigte Person beruflich auf den Führerausweis angewiesen ist und der Entzug sie daher spürbar treffen wird (E. III.4.b/ee)Die für schuldangemessen befundene Geldstrafe ist im Umfang einer zusätzlich ausgefällten Verbindungsbusse zu reduzieren, damit die Strafe insgesamt schuldangemessen ausfällt (E. III.6.) (Kantonsgericht, Strafkammer, 16. Juni 2015, ST.2014.107).</w:t>
      </w:r>
    </w:p>
    <w:p>
      <w:pPr>
        <w:pStyle w:val="Heading2"/>
      </w:pPr>
      <w:r>
        <w:t>Erwägungen</w:t>
      </w:r>
    </w:p>
    <w:p>
      <w:r>
        <w:rPr>
          <w:b/>
        </w:rPr>
        <w:t>E. 1</w:t>
      </w:r>
    </w:p>
    <w:p>
      <w:r>
        <w:t>Unbestritten und beweismässig erstellt ist, dass der Beschuldigte […] die erlaubte Höchstgeschwindigkeit von 80 km/h um rechtlich relevante 54 km/h überschritt. Dabei handelte er vorsätzlich und machte sich der groben Verkehrsregelverletzung nach Art. 90 Ziff. 2 SVG schuldig. […]</w:t>
      </w:r>
    </w:p>
    <w:p>
      <w:r>
        <w:rPr>
          <w:b/>
        </w:rPr>
        <w:t>E. 3</w:t>
      </w:r>
    </w:p>
    <w:p>
      <w:r>
        <w:t>a) Die Staatsanwaltschaft bringt an Schranken vor, die von der Schweizerischen Staatsanwälte-Konferenz (SSK) herausgegebenen Richtlinien zur Strafzumessung bei Geschwindigkeitsüberschreitungen sähen im konkreten Fall eine Geldstrafe ab 120 Tagessätzen vor. Richtlinien seien von erheblicher Bedeutung, wenn es darum gehe, eine rechtsgleiche Sanktionierung zu gewährleisten. Es sei daher nicht einzusehen, weshalb diese Richtlinien nicht auch von den Gerichten berücksichtigt werden müssten. b) Im Rahmen des vom Bundesrat vorgeschlagenen und vom Parlament am 15. Ju­ni 2012 verabschiedeten Handlungsprogramms „Via sicura“ wurde mit Art. 90 Abs. 3 und Abs. 4 SVG neu – neben der einfachen (Abs. 1, Übertretung) und der groben (Abs. 2, Vergehen) – eine dritte Kategorie der Verkehrsregelverletzungen, die „krasse“ (Abs. 3, Verbrechen) Verkehrsregelverletzung eingefügt (AS 2012 6291). Das Anliegen dieser Änderung geht zurück auf die Volksinitiative „Schutz vor Rasern“ (vgl. dazu www.admin.ch/ch/d//pore/vi/vis384.html) und wurde im Sinne eines Gegenvorschlags in die Gesetzgebungsvorlage aufgenommen. Neu wird mit einer Freiheitsstrafe von mindestens einem bis maximal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(Art. 90 Abs. 3 SVG). Um die Anschlussfähigkeit an die schwerste Kategorie der Verkehrsregelverletzung wiederherzustellen, passte die Konferenz der Strafverfolgungsbehörden der Schweiz (KSBS) respektive die SSK nach dem Erlass von Art. 90 Abs. 3 und 4 SVG ihre Strafmassempfehlungen für sämtliche – auch die unter Art. 90 Abs. 2 SVG fallenden – Geschwindigkeitsüberschreitungen an. Dies führte dazu, dass die Strafmassempfehlungen für grobe Verkehrsregelverletzungen teilweise drastisch verschärft wurden (vgl. Fiolka, Wie „sicura“ ist die verschärfte Strafbestimmung von Art. 90 SVG?, Strassenverkehrsrechts-Tagung 24.-25. Juni 2014, Bern 2014; http://www.ssk-cps.ch/empfehlungen; ferner auch Niggli, Vom Repressions- zum Präventionsstrafrecht, in: Forum Strafverteidigung: Strafverteidigung und Sicherheitswahn, 3. Dreiländerforum Strafverteidigung, Zürich 14./15. Juni 2013, Wien 2014). Die Hauptziele der Volksinitiative „Schutz vor Rasern“ und der neuen Art. 90 Abs. 3 und 4 SVG bestanden aber eigentlich darin, dass „Raserinnen und Raser“ künftig strenger bestraft werden und dass es nicht mehr dem richterlichen Ermessen überlassen werden sollte, zu bestimmen, wer als „Raserin oder Raser“ zu gelten hat. Verschärft werden sollte nicht die Sanktionierung sämtlicher Verkehrsregelverletzungen, sondern lediglich diejenige einzelner Extremfälle (AB 2011 S. 679; Botschaft des Bundesrates zur Volksinitiative „Schutz vor Rasern“ S. 10). Eine Auswirkung auf die nach Art. 90 Abs. 2 SVG auszufällenden Strafen wurde durch die Einführung der dritten Kategorie von Verkehrsregelverletzungen nicht beabsichtigt. Demgemäss ist Art.90 SVG in seiner geltenden Fassung auszulegen. Daraus mögen im Einzelfall Sprünge zwischen den nach Art. 90 Abs. 2 SVG verhängten Strafen und der nach Art. 90 Abs. 3 SVG auszufällenden Mindeststrafe resultieren. Diese sind jedoch de lege lata hinzunehmen. Sie liessen sich darüber hinaus ohnehin kaum vermeiden, was auch in den Strafmassempfehlungen der SSK deutlich zum Ausdruck kommt. So müssten. um eine kontinuierliche Anpassung an das Mindeststrafmass von Art. 90 Abs. 3 SVG zu verwirklichen, nach jenen Empfehlungen bei Geschwindigkeitsüberschreitungen zwischen 50 und 59 km/h, Strafen in einem Spektrum von 120 bis zu 360 Tagessätzen ausgefällt werden. Folglich würden bereits marginale Geschwindigkeitsunterschiede zu einem markant höheren Strafmass führen. c) Was die Berücksichtigung der Strafzumessungsempfehlungen im Allgemeinen anbelangt, hat das Bundesgericht wiederholt festgehalten, dass Richtlinien, wie die Strafmassempfehlungen der SSK, keine Gesetzeskraft aufweisen und das Ermessen der Gerichte und Behörden nicht beschränken (BGE 123 II 106 E. 2e; BGE 104 Ib 49 E. 3a). Sie seien mit Bundesrecht nur vereinbar, sofern sie lediglich Richtlinienfunktion hätten und dem Richter als Orientierungshilfe dienten, ohne ihn zu binden oder zu hindern, eine seiner Überzeugung schuldangemessene Strafe im Sinne von Art. 47 StGB auszusprechen (BGer 6S.350/2004 E. 1.2.1; 6S.560/1996 E. 2a). d) Die Strafzumessungsempfehlungen der SSK stellen bei der tarifmässigen Bemessung des Strafmasses einzig auf die Höhe der Geschwindigkeitsüberschreitung ab. Das Abstellen auf Tarife bietet sich zugegebenermassen vor allem dort an, wo, wie bei der Geschwindigkeitsüberschreitung, eine in Zahlen auszudrückende Bezugsgrösse gegeben ist. Bei der Strafzumessung geht es jedoch um eine Gesamtwürdigung aller wesentlichen Umstände. Es geht nicht an, allein oder doch vorwiegend auf die Höhe der Geschwindigkeitsüberschreitung abzustellen. Die Höhe der Geschwindigkeitsüberschreitung ist bei der Strafzumessung ein Gesichtspunkt neben anderen und fällt vornehmlich bei der Beurteilung des objektiven Tatverschuldens in Betracht (vgl. Härri, Die Bemessung des Führerausweisentzugs zu Warnzwecken, BJM 1999, S. 121). Sie stellt indessen auch bei Letzterer – zwar einen gewichtigen – nicht aber den einzigen ausschlaggebenden Gesichtspunkt dar. So sind namentlich auch die Strassen-, Sicht- und Witterungsverhältnisse, die Dauer der Geschwindigkeitsüberschreitung sowie das Ausmass der Gefährdung im Rahmen der Beurteilung des objektiven Tatverschuldens zu berücksichtigen. Das heisst nicht, dass Strafzumessungsempfehlungen im Bereich der Massendelinquenz der Geschwindigkeitsüberschreitung von vornherein abzulehnen wären. Soweit sie lediglich Richtlinienfunktion haben und im Sinne einer Orientierungshilfe, sozusagen als zu einem gedanklichen Referenzsachverhalt („Normalfall“) gehörende Referenzstrafe benutzt werden, welche dem konkret zur Beurteilung stehenden Sachverhalt gegenübergestellt wird, um anschliessend im Vergleich dazu die konkrete Einsatzstrafe für das objektive Tatverschulden zu ermitteln, ist gegen ihre Anwendung nichts einzuwenden. Damit kann jedenfalls in gewissen Grenzen eine rechtsgleiche Behandlung erreicht werden. Dies wiederum entspricht den verfassungsmässigen Vorgaben. Schliesslich soll die Strafzumessung zu einer verhältnismässigen Strafe führen, dabei aber auch ein Höchstmass an Gleichheit gewährleisten (vgl. Hans-Peter Kiener, Den Tarif durchgeben?, in: ZStrR 2007, S. 364 ff.; Wiprächtiger, Strafzumessung und bedingter Strafvollzug, ZStrR 1996, S. 454 ff.; ferner Eugster/Frischknecht, Strafzumessung im Betäubungsmittelhandel, AJP 2014, S. 328 ff. und 335).</w:t>
      </w:r>
    </w:p>
    <w:p>
      <w:r>
        <w:rPr>
          <w:b/>
        </w:rPr>
        <w:t>E. 4</w:t>
      </w:r>
    </w:p>
    <w:p>
      <w:r>
        <w:t>Der Beschuldigte verdient gemäss eigenen Angaben monatlich zwischen Fr. 8'000.00 und Fr. 9'500.00 und bezieht zusätzlich einen 13. Monatslohn. Da seine Ehefrau über ein eigenes Einkommen verfügt und seine Kinder bereits erwachsen sind, hat er keinerlei Unterstüt­zungspflichten. Unter Berücksichtigung seines Lebensaufwands ist ein Tagessatz von Fr. 250.00 den persönlichen und wirtschaftlichen Verhältnissen weiterhin angemessen.</w:t>
      </w:r>
    </w:p>
    <w:p>
      <w:r>
        <w:rPr>
          <w:b/>
        </w:rPr>
        <w:t>E. 5</w:t>
      </w:r>
    </w:p>
    <w:p>
      <w:r>
        <w:t>Gemäss Art. 42 Abs. 1 StGB schiebt das Gericht den Vollzug einer Geldstrafe in der Regel auf, wenn eine unbedingte Strafe nicht notwendig erscheint, um den Täter vor der Begehung weiterer Verbrechen oder Vergehen abzuhalten. Das Gericht muss eine Prognose über das zukünftige Verhalten des Angeklagten stellen. Für die Gewährung des bedingten Geldstrafenvollzugs genügt, dass keine Befürchtung besteht, der Täter werde sich in Zukunft nicht bewähren. Der Beschuldigte liess sich zwar von den bisher verhängten Bussen und Administrativmassnahmen nicht beeindrucken. Eine (unbedingte) Geldstrafe hatte er allerdings noch nie zu gewärtigen. Weiter kann grund­sätzlich auf die überzeugende Erwägung der Vorinstanz verwiesen werden, wonach eine Verurteilung mittels Bussenverfügung nicht die gleiche Wirkung erziele wie jene, die im Rahmen eines gerichtlichen Verfahrens ergehe. Den verbleibenden Bedenken kann sodann mit einer (zu vollziehenden) Verbindungsbusse begegnet werden (Art. 42 Abs. 4 StGB). Eine unbedingte Strafe erscheint daher – auch für die Staatsanwaltschaft (vgl. die eingangs genannten Anträge) – nicht notwendig, umso mehr, als dem Beschuldigten der Führerausweis für mindestens 6 Monate entzogen werden dürfte. Der Vollzug der Geldstrafe ist aufzuschieben und die Probezeit auf zwei Jahre festzusetzen (Art. 44 Abs. 1 StGB).</w:t>
      </w:r>
    </w:p>
    <w:p>
      <w:r>
        <w:rPr>
          <w:b/>
        </w:rPr>
        <w:t>E. 6</w:t>
      </w:r>
    </w:p>
    <w:p>
      <w:r>
        <w:t>a) Gemäss Art. 42 Abs. 4 StGB kann eine bedingte Strafe mit einer unbedingten Geldstrafe oder mit einer Busse nach Art. 106 StGB verbunden werden. Die Bestim­mung dient primär dazu, die so genannte Schnittstellenproblematik zwischen der Busse (für Übertretungen) und der bedingten Geldstrafe (für Vergehen) zu entschärfen und verhilft im Gebiet der leichteren Kriminalität zu einer rechtsgleichen Sanktionierung. Im Bereich der Massendelinquenz soll damit die Möglichkeit geschaffen werden, eine spürbare Sanktion zu verhängen (BGer 6B_412/2010 E. 2.2; BGE 134 IV 60 E. 7.3.1; Trechsel/Pieth, in Trechsel/Pieth [Hrsg.], StGB PK, 2. Aufl., Zürich/St. Gallen 2013, Art. 42 N 19; BSK StGB-Schneider/Garré, Art. 42 N 102f.). Die Strafe soll nicht zu einer Straferhö­hung führen oder eine zusätzliche Strafe ermöglichen, sondern lediglich innerhalb der schuldangemessenen Strafe eine täter- und tatangemessene Strafartenreaktion gestatten (BGE 134 IV 82 E. 7.2.6; 134 IV I, E. 4.5.2; Trechsel/Pieth, a.a.O., Art. 42 N 19). Ferner trägt die Busse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(BGer 6B_412/2010 E. 2.2; BGE 134 IV 60 E. 7.3.1). Um dem akzessorischen Charakter der Verbindungsstrafe gerecht zu werden, hat das Bun­desgericht die Obergrenze grundsätzlich bei 20 % der Gesamtstrafe (Geldstrafe plus Busse) festgelegt (BGE 135 IV 188 E. 3.4.4). b) Gemäss der soeben wiedergegebenen ratio legis kann eine Verbindungsbusse ins­besondere bei Strassenverkehrsdelikten angezeigt sein. Denn hier führt die Schnittstel­lenproblematik dazu, dass im Falle einer Übertretung im Strassenverkehr eine zu zah­lende Busse auszusprechen ist, während bei einem Vergehen, wie im vorliegenden Fall, lediglich eine nicht zu zahlende bedingte Geldstrafe als Sanktion droht. In Anbetracht der Tatsache, dass sich der Beschuldigte wenig einsichtig zeigt, erscheint es auch aus spezialpräventiver Sicht angebracht, ihm mit der Auferlegung einer zusätzlichen Busse den Ernst der Lage und die Rechtswidrigkeit seines Verhaltens deutlich zu machen. Eine Busse von Fr. 2'500.00, was knapp einem Drittel seines monatlichen Einkommens entspricht, erscheint vor diesem Hintergrund angemessen. Die Ersatzfreiheitsstrafe bei schuldhafter Nichtbezahlung der Busse (Art. 106 Abs. 2 und 3 StGB) wird in Anlehnung an die Tagessatzhöhe auf zehn Tage festgelegt (vgl. BGer 6B_366/2007 E. 7.3.3). c) Die schuldangemessene Strafe setzt sich zusammen aus der Anzahl der Tagessätze und der Höhe der Busse. Nachdem zuvor eine Geldstrafe von 90 Tagessätzen als ins­gesamt dem Verschulden angemessen und eine Strafenkombination als sachgerecht erachtet wurde, ist die Anzahl der Tagessätze bei Verhängung einer Verbindungsbusse von Fr. 2'500.00 im entsprechenden Umfang zu reduzieren (vgl. BGer 6B_760/2007 E. 4; BGE 135 IV 188 E. 3.3 ff.; 134 IV 1 E. 4.5.2). Ansonsten müsste der Beschuldigte, falls die Geldstrafe wegen fehlender Bewährung vollzogen wird, (eine) im Ergebnis (schuldunangemessene) Geldstrafe und Busse leisten (BSK StGB-Heimgartner, Art. 106 N 42, mit weiteren Hinweisen), woraus zudem eine Ungleichbehandlung gegenüber Tätern mit schlechter Prognose resultiert, die "nur" mit einer (unbedingten) Geldstrafe in gleicher Höhe bestraft werden (Fahrni/Heimgartner, Strafrechtliche und verwaltungsrechtliche Sanktionen bei Geschwindigkeitsübertretungen nach neuem Recht, Anwaltsrevue 2007/1,S. 11 f.). Der Beschuldigte ist somit zu einer Geldstrafe von 80 Tagessätzen zu je Fr. 250.00, bedingt aufgeschoben mit einer Probezeit von zwei Jahren, sowie zu einer Busse von Fr. 2'500.00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