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RDRM.2023.30 vom 13. September 2023</w:t>
      </w:r>
    </w:p>
    <w:p>
      <w:r>
        <w:t>SG Gerichte, 2023-09-13, DE</w:t>
      </w:r>
    </w:p>
    <w:p>
      <w:r>
        <w:rPr>
          <w:b/>
        </w:rPr>
        <w:t xml:space="preserve">Quelle: </w:t>
      </w:r>
      <w:r>
        <w:t>https://mcp.opencaselaw.ch/entscheid/sg_publikationen_RDRM.2023.30</w:t>
      </w:r>
    </w:p>
    <w:p>
      <w:r>
        <w:t>FR: SG_PUBLIKATIONEN RDRM.2023.30 du 13 septembre 2023</w:t>
      </w:r>
    </w:p>
    <w:p>
      <w:r>
        <w:t>IT: SG_PUBLIKATIONEN RDRM.2023.30 del 13 settembre 2023</w:t>
      </w:r>
    </w:p>
    <w:p>
      <w:pPr>
        <w:pStyle w:val="Heading2"/>
      </w:pPr>
      <w:r>
        <w:t>Erwägungen</w:t>
      </w:r>
    </w:p>
    <w:p>
      <w:r>
        <w:rPr>
          <w:b/>
        </w:rPr>
        <w:t>E. 1</w:t>
      </w:r>
    </w:p>
    <w:p>
      <w:r>
        <w:t>Die von Amtes wegen vorzunehmende Prüfung der Rekursvorausset- zungen ergibt, dass diese sowohl hinsichtlich der Zuständigkeit und der Rekursberechtigung als auch in Bezug auf die Frist- und Former- fordernisse erfüllt sind (Art. 43bis Abs. 1 Bst. a, Art. 45 Abs. 1, Art. 47 und 48 des Gesetzes über die Verwaltungsrechtspflege [sGS 951.1; abgekürzt VRP], Art. 26 Bst. e des Geschäftsreglements der Regie- rung und der Staatskanzlei [sGS 141.3] sowie Art. 1 des Reglements Z.___ über den Weiterzug von Verfügungen und Entscheiden unterer Instanzen [___]). Auf den Rekurs ist einzutreten.</w:t>
      </w:r>
    </w:p>
    <w:p>
      <w:r>
        <w:rPr>
          <w:b/>
        </w:rPr>
        <w:t>E. 2</w:t>
      </w:r>
    </w:p>
    <w:p>
      <w:r>
        <w:t>a) Nach allgemeinem Grundsatz müssen Personendaten richtig sein. Art. 1 Abs. 2 Bst. d i.V.m. Art. 2 Abs. 2 Bst. a des Bundesgeset- zes über die Harmonisierung der Einwohnerregister und anderer amt- licher Personenregister (SR 431.02; abgekürzt RHG) verpflichtet die Kantone und die Gemeinden zur Aktualisierung der Einwohnerregis- ter. Im Einwohnerregister sind alle Personen zu erfassen, die sich in einer Gemeinde niedergelassen haben oder aufhalten (Art. 3 Bst. a RHG). Die Begriffe Niederlassung und Aufenthalt werden in Art. 3 Bst. b und c RHG definiert, wobei es sich um eine für die ganze Schweiz geltende Einheitsdefinition handelt. Die Niederlassung einer Person befindet sich in derjenigen Gemeinde, in der sie sich in der Absicht dauernden Verbleibs aufhält, um dort den Mittelpunkt ihres Le- bens zu begründen, der für Dritte erkennbar sein muss; eine Person wird in derjenigen Gemeinde als niedergelassen betrachtet, in der sie das erforderliche Dokument hinterlegt hat und kann nur eine Nieder- lassungsgemeinde haben (Art. 3 Bst. b RHG). Die Aufenthaltsge- meinde ist demgegenüber diejenige Gemeinde, in der sich eine Per- son zu einem bestimmten Zweck ohne Absicht dauernden Verbleibens mindestens während dreier aufeinander folgender Monate oder dreier Monate innerhalb eines Jahres aufhält (Art. 3 Bst. c RHG). Der Begriff Aufenthalt bezieht sich somit auf eine minimale Anwesenheitsdauer zu einem bestimmten Zweck ohne Absicht dauernden Verbleibens und für eine begrenzte Dauer (z.B. als Wochenaufenthalter). Im Falle des Aufenthalts verfügen die betroffenen Personen weiterhin über einen anderen Niederlassungsort (Botschaft des Bundesrates zur Harmoni- sierung amtlicher Personenregister vom 23. November 2005 [BBl 2006 427ff., S. 457]).</w:t>
      </w:r>
    </w:p>
    <w:p>
      <w:r>
        <w:t>5/10 b) Der Kanton St.Gallen regelt die Registerfragen im Gesetz über Niederlassung und Aufenthalt (sGS 453.1; abgekürzt NAG), das ge- stützt auf die bundesrechtlichen Vorgaben des RHG erlassen wurde und u.a. Niederlassung und Aufenthalt der Schweizerinnen und Schweizer regelt (Art. 1 Bst. a NAG). Nach Art. 13 NAG ist das Ein- wohneramt für die Führung des Einwohnerregisters zuständig. Zuzie- hende Personen, die in der politischen Gemeinde Niederlassung oder Aufenthalt begründen, haben sich beim Einwohneramt anzumelden (Art. 3 Abs. 1 NAG).</w:t>
      </w:r>
    </w:p>
    <w:p>
      <w:r>
        <w:t>c) Die Frage der Niederlassung betrifft das polizeiliche Domizil. Davon zu unterscheiden sind der zivilrechtliche Wohnsitz und Spezi- alwohnsitze wie das Steuerdomizil, der politische Wohnsitz, Sozialleis- tungswohnsitz und andere Spezialwohnsitze mit eigenständigen An- knüpfungspunkten. Der Entscheid über das polizeiliche Domizil be- deutet nur, dass der Niederlassung kein administratives Hindernis ent- gegensteht; die Bejahung der Niederlassung präjudiziert die Frage nach der Bestimmung der (Spezial-)Wohnsitze nicht. Wenn sich eine Person regelmässig an mehreren Orten aufhält, so bestimmt sich der Ort ihrer registerrechtlichen Niederlassung jedoch in der Regel nach denselben Merkmalen wie der zivilrechtliche Wohnsitz. Diese sind in Art. 23 des Schweizerischen Zivilgesetzbuches (SR 210; abgekürzt ZGB) umschrieben, wonach sich der Wohnsitz einer Person an dem Ort befindet, wo sie sich mit der Absicht dauernden Verbleibens auf- hält. Für die Begründung des zivilrechtlichen Wohnsitzes müssen so- mit zwei Merkmale erfüllt sein: ein objektives äusseres, der Aufenthalt, sowie ein subjektives inneres, die Absicht des dauernden Verbleibens. Massgebendes Kriterium ist grundsätzlich in beiden Fällen (Register- wohnsitz und zivilrechtlicher Wohnsitz) die Absicht des dauernden Verbleibens bzw. der Mittelpunkt der Lebensbeziehungen. Die Anmel- dung zwecks Niederlassung hat somit am Ort zu erfolgen, zu dem die engsten Beziehungen bestehen, wofür objektive Merkmale und nicht die subjektive Verbundenheit mit einem Ort ausschlaggebend sind. Dabei lässt sich gemeinhin kein strikter Beweis erbringen, sodass eine Abwägung aufgrund von Indizien erforderlich ist. Dies bedingt eine sorgfältige Berücksichtigung und Gewichtung sämtlicher Berufs-, Fa- milien- und Lebensumstände. Für die Registerfrage können auch die steuerrechtlichen Kriterien herbeigezogen werden, zumal im Rechts- alltag Register- und Steuerrecht nicht unbedeutend zusammenhängen und die steuerrechtlichen Kriterien präziser gefasst sind als die Le- galdefinitionen des RHG. Demnach gilt derjenige Ort als steuerrechtli- cher Wohnsitz, an dem sich faktisch der Mittelpunkt der Lebensinte- ressen befindet. Wenn sich eine Person abwechslungsweise an zwei oder mehreren Orten aufhält, ist darauf abzustellen, zu welchem Ort sie die stärkeren Beziehungen unterhält. Die bundesgerichtliche Pra- xis hat für die steuerpflichte Personen der Wochenaufenthalterinnen und Wochenaufenthalter typische Fallkonstellationen entwickelt und berücksichtigt etwa die Dauer des Arbeitsverhältnisses und das Alter des Steuerpflichtigen. So treten die Beziehungen unverheirateter Per- sonen zum Arbeitsort praxisgemäss in den Vordergrund, wenn die Person das dreissigste Altersjahr überschritten hat und/oder sich seit</w:t>
      </w:r>
    </w:p>
    <w:p>
      <w:r>
        <w:t>6/10 mehr als fünf Jahren ununterbrochen am selben auswärtigen Ort auf- hält (vgl. ausführlich zur Definition und zu den Merkmalen von Nieder- lassung und Aufenthalt: Urteil des Verwaltungsgerichtes B 2021/21 vom 10. Juni 2021 Erw. 2 mit diversen Hinweisen, abrufbar unter www.publikationen.sg.ch/rechtsprechung-gerichte).</w:t>
      </w:r>
    </w:p>
    <w:p>
      <w:r>
        <w:rPr>
          <w:b/>
        </w:rPr>
        <w:t>E. 3</w:t>
      </w:r>
    </w:p>
    <w:p>
      <w:r>
        <w:t>Bst. b und c RHG (vgl. Erw. 2) widersprechen. Auch etwa die Defini- tion einer Auslandschweizerin bzw. eines Auslandschweizers wäre da- mit nicht vereinbar: Nach Art. 3 Bst. a des Bundesgesetzes über Schweizer Personen und Institutionen im Ausland (SR 195.1; abge- kürzt ASG) gelten als Auslandschweizerinnen und Auslandschweizer Schweizerinnen und Schweizer, die in der Schweiz keinen Wohnsitz haben und im Auslandschweizerregister eingetragen sind. Dabei wird der Wohnsitz – wie bei der registerrechtlichen Niederlassung – nach denselben Merkmalen wie der zivilrechtliche Wohnsitz bestimmt. Wür- den nun Schweizer Staatsangehörige mit Wohnsitz im Ausland und Aufenthalt in der Schweiz stets eine Niederlassung i.S.v. Art. 3 Bst. b RHG und damit grundsätzlich auch zivilrechtlichen Wohnsitz in der Schweiz begründen, wären sie definitionsgemäss keine Ausland- schweizer i.S.v. Art. 3 Bst. a ASG mehr, weil sämtliche Bestimmungen</w:t>
      </w:r>
    </w:p>
    <w:p>
      <w:r>
        <w:t>8/10 auf den zivilrechtlichen Wohnsitz abstellen. Dass solche Personen zwei Niederlassungen bzw. Hauptwohnsitze begründen, wird von Art. 3 Bst. b RHG, wonach eine Person nur eine Niederlassungsge- meinde haben kann, ausgeschlossen (vgl. Urteil des Verwaltungsge- richtes des Kantons Zürich VB.2016.00195 vom 24. August 2016 Erw. 4.2.1 und 4.2.2 mit Hinweis).</w:t>
      </w:r>
    </w:p>
    <w:p>
      <w:r>
        <w:t>d) Insgesamt ist somit festzuhalten, dass nicht von vornherein ausgeschlossen ist, dass der Rekurrent als Schweizer Staatsangehö- riger mit Wohnsitz bzw. Niederlassung im Ausland einen Aufenthalt in der Schweiz begründen kann. Die gegenteilige Rechtsauffassung der Vorinstanz findet weder in den gesetzlichen Grundlagen noch in den Materialen noch im amtlichen Katalog der Merkmale (als ergänzende Ausführungsbestimmungen) eine Stütze.</w:t>
      </w:r>
    </w:p>
    <w:p>
      <w:r>
        <w:rPr>
          <w:b/>
        </w:rPr>
        <w:t>E. 4</w:t>
      </w:r>
    </w:p>
    <w:p>
      <w:r>
        <w:t>a) Zu prüfen bleibt, ob sich der Hauptwohnsitz bzw. die Nieder- lassung des Rekurrenten bei dieser Ausgangslage in Z.___ befindet. Die Vorinstanz hat festgehalten, dass die Begründung eines Neben- wohnsitzes ausgeschlossen sei, selbst wenn man davon ausgehen würde, dass sich der Rekurrent lediglich zum Arbeiten in Z.___ auf- hielte und seinen Lebensmittelpunkt immer noch in Y.___ wäre. Eine vertiefte Prüfung des Hauptwohnsitzes bzw. der Niederlassung des Rekurrenten durch die Vorinstanz ist nicht ersichtlich.</w:t>
      </w:r>
    </w:p>
    <w:p>
      <w:r>
        <w:t>b) aa) In den Akten befindet sich dazu im Wesentlichen das E- Mail des Rekurrenten vom 28. Februar 2023, in dem er festhält, dass er (im Anschluss an ein einjähriges Praktikum beim selben Arbeitge- ber) erst seit August 2022 in einem unbefristeten Arbeitsverhältnis mit dem X.___ stehe, es sich um seine erste unbefristete Anstellung nach der Ausbildung handle, er sich lediglich zum Arbeiten in Z.___ aufhalte und pendeln aufgrund der Distanz zum Wohnort nicht praktikabel sei. Die Familie und sozialen Kontakte befänden sich in Y.___, wo er auch die Freizeit und Wochenenden verbringe und in verschiedenen Verei- nen tätig sei (act. 5.1/9).</w:t>
      </w:r>
    </w:p>
    <w:p>
      <w:r>
        <w:t>bb) Diese Äusserungen des Rekurrenten sowie der Umstand, dass der Rekurrent erst 26 Jahre alt ist, er erst seit dem 1. Juni 2022 eine Wohnung in Z.___ hat und die Festanstellung am X.___ (nach einem einjährigen Praktikum) erst auf den 1. August 2022 angetreten hat, lassen zwar grundsätzlich darauf schliessen, dass der Rekurrent in Z.___ keine Niederlassung begründet hat (vgl. Erw. 2.c). Indes scheint vorliegend nicht angebracht, einzig gestützt auf diese Aussagen des Rekurrenten neu zu entscheiden. Die Vorinstanz hat bei ihrer Ent- scheidfindung die Weichen in einem derart frühen Zeitpunkt falsch ge- stellt, dass die Streitsache von der Vorinstanz im Wesentlichen als un- geprüft erscheint. Ein reformatorischer Entscheid würde folglich den Instanzenzug in unzulässiger Weise verkürzen (vgl. Cavelti/Vögeli, Verwaltungsgerichtsbarkeit im Kanton St.Gallen, St.Gallen 2003, Rz. 1032). Es rechtfertigt sich deshalb, die Streitsache zur weiteren Sachverhaltsabklärung, insbesondere in Bezug auf den Mittelpunkt</w:t>
      </w:r>
    </w:p>
    <w:p>
      <w:r>
        <w:t>9/10 der Lebensbeziehungen des Rekurrenten, an die Vorinstanz zurück- zuweisen.</w:t>
      </w:r>
    </w:p>
    <w:p>
      <w:r>
        <w:t>c) Die Verfügung der Vorinstanz vom 23. März 2023 ist daher auf- zuheben und die Streitsache zu weiteren Abklärungen sowie zu neuer Entscheidung an die Vorinstanz zurückzuweisen, wobei diese an die Rechtsauffassung gebunden ist, die dem Rückweisungsentscheid zu- grunde liegt (Art. 56 Abs. 2 VRP).</w:t>
      </w:r>
    </w:p>
    <w:p>
      <w:r>
        <w:rPr>
          <w:b/>
        </w:rPr>
        <w:t>E. 5</w:t>
      </w:r>
    </w:p>
    <w:p>
      <w:r>
        <w:t>Der Rekurrent bringt schliesslich sinngemäss vor, dass ihm das recht- liche Gehör im vorinstanzlichen Verfahren mangelhaft gewährt wurde, da ihm die Frist zur Stellungnahme zur beabsichtigten Verfügung per E-Mail an eine von ihm nicht (regelmässig) verwendete E-Mail-Ad- resse angesetzt wurde. Das Vorgehen der Vorinstanz, das rechtliche Gehör lediglich per E-Mail zu gewähren und darüber hinaus an eine E-Mail-Adresse, die der Rekurrent nicht ausdrücklich für die behördli- che Korrespondenz angegeben hat und er offensichtlich gar nicht mehr regelmässig benutzt, erscheint tatsächlich fragwürdig. Eine Zu- stimmung des Rekurrenten zu einem elektronischen Schriftenwechsel scheint nicht vorgelegen zu haben. Immerhin kann festgehalten wer- den, dass der Rekurrent das E-Mail noch rechtzeitig gesehen hat und er sich vor Erlass der angefochtenen Verfügung äussern konnte. Auf- grund des vorliegenden Prozessausgangs kann ohnehin offenbleiben, ob eine Verletzung des rechtlichen Gehörs vorliegt.</w:t>
      </w:r>
    </w:p>
    <w:p>
      <w:r>
        <w:rPr>
          <w:b/>
        </w:rPr>
        <w:t>E. 6</w:t>
      </w:r>
    </w:p>
    <w:p>
      <w:r>
        <w:t>Nach Art. 95 Abs. 1 VRP hat in Verwaltungsstreitigkeiten jener Betei- ligte die Verfahrenskosten zu tragen, dessen Begehren ganz oder teil- weise abgewiesen werden. Bei Rückweisung an die Vorinstanz zu er- neutem Entscheid (mit noch offenem Ausgang) gilt der Rekurrent als vollständig obsiegend. In Anwendung von Nr. 20.13.01 des Gebühren- tarifs für die Kantons- und Gemeindeverwaltung (sGS 821.5) ist die Entscheidgebühr auf Fr. 1'000.‒ festzusetzen. Von der unterliegenden Vorinstanz werden keine Kosten erhoben (Art. 95 Abs. 3 VRP). Der obsiegende Rekurrent hat keine Verfahrenskosten zu tragen. Ihm ist der geleistete Kostenvorschuss von Fr. 1'000.‒ entsprechend zurück- zuerstatten.</w:t>
      </w:r>
    </w:p>
    <w:p>
      <w:r>
        <w:t>10/10 Entscheid 1.</w:t>
      </w:r>
    </w:p>
    <w:p>
      <w:r>
        <w:t>a) Der Rekurs von A.___, Z.___, wird gutgeheissen.</w:t>
      </w:r>
    </w:p>
    <w:p>
      <w:r>
        <w:t>b) Die angefochtene Verfügung der Bevölkerungsdienste Z.___ vom 23. März 2023 wird aufgehoben und die Streitsache wird im Sinn der Erwägungen zur Neubeurteilung an die Bevölkerungsdienste der Z.___ zurückgewiesen.</w:t>
      </w:r>
    </w:p>
    <w:p>
      <w:r>
        <w:t>2.</w:t>
      </w:r>
    </w:p>
    <w:p>
      <w:r>
        <w:t>a) Die Entscheidgebühr von Fr. 1'000.– wird den Bevölkerungsdiensten Z.___ auferlegt. Auf die Erhebung wird verzich- tet.</w:t>
      </w:r>
    </w:p>
    <w:p>
      <w:r>
        <w:t>b) Der von A.___ geleistete Kostenvorschuss in Höhe von Fr. 1'000.– wird ihm zurückerstattet.</w:t>
      </w:r>
    </w:p>
    <w:p>
      <w:r>
        <w:t>Der Vorsteher:</w:t>
      </w:r>
    </w:p>
    <w:p>
      <w:r>
        <w:t>Fredy Fässler, lic.iur. Regierungspräsident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