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RDRM.2019.52 vom 1. Dezember 2021</w:t>
      </w:r>
    </w:p>
    <w:p>
      <w:r>
        <w:t>SG Gerichte, 2021-12-01, DE</w:t>
      </w:r>
    </w:p>
    <w:p>
      <w:r>
        <w:rPr>
          <w:b/>
        </w:rPr>
        <w:t xml:space="preserve">Quelle: </w:t>
      </w:r>
      <w:r>
        <w:t>https://mcp.opencaselaw.ch/entscheid/sg_publikationen_RDRM.2019.52</w:t>
      </w:r>
    </w:p>
    <w:p>
      <w:r>
        <w:t>FR: SG_PUBLIKATIONEN RDRM.2019.52 du 1 décembre 2021</w:t>
      </w:r>
    </w:p>
    <w:p>
      <w:r>
        <w:t>IT: SG_PUBLIKATIONEN RDRM.2019.52 del 1 dicembre 2021</w:t>
      </w:r>
    </w:p>
    <w:p>
      <w:pPr>
        <w:pStyle w:val="Heading2"/>
      </w:pPr>
      <w:r>
        <w:t>Erwägungen</w:t>
      </w:r>
    </w:p>
    <w:p>
      <w:r>
        <w:rPr>
          <w:b/>
        </w:rPr>
        <w:t>E. 1</w:t>
      </w:r>
    </w:p>
    <w:p>
      <w:r>
        <w:t>Die von Amtes wegen vorzunehmende Prüfung der Rekursvorausset- zungen ergibt, dass diese sowohl hinsichtlich der Zuständigkeit und der Rekursberechtigung als auch in Bezug auf die Frist- und Formerforder- nisse gegeben sind (Art. 43bis, Art. 45 Abs. 1, Art. 47 und 48 des Gesetzes über die Verwaltungsrechtspflege [sGS 951.1; abgekürzt VRP]). Auf den Rekurs ist einzutreten.</w:t>
      </w:r>
    </w:p>
    <w:p>
      <w:r>
        <w:rPr>
          <w:b/>
        </w:rPr>
        <w:t>E. 2</w:t>
      </w:r>
    </w:p>
    <w:p>
      <w:r>
        <w:t>Nach Art. 3 Abs. 4 des Strassenverkehrsgesetzes (SR 741.01; abge- kürzt SVG) können Verkehrsanordnungen erlassen werden, soweit der Schutz der Bewohner oder gleichermassen Betroffener vor Lärm und Luftverschmutzung, die Beseitigung von Benachteiligungen von Men- schen mit Behinderungen, die Sicherheit, die Erleichterung oder die Re- gelung des Verkehrs, der Schutz der Strasse oder andere in den örtlichen</w:t>
      </w:r>
    </w:p>
    <w:p>
      <w:r>
        <w:t>Entscheid des Sicherheits- und Justizdepartementes SG</w:t>
      </w:r>
    </w:p>
    <w:p>
      <w:r>
        <w:t>6/9 Verhältnissen liegende Gründe dies erfordern; aus solchen Gründen kön- nen insbesondere in Wohnquartieren der Verkehr beschränkt und das Parkieren besonders geregelt werden. Die Bestimmung lässt Anordnun- gen nicht nur aus rein verkehrspolizeilichen Motiven, sondern auch aus "anderen in den örtlichen Verhältnisse liegenden Gründen" zu. Funktio- nelle Verkehrsmassnahmen können deshalb insbesondere aus ortspla- nerischen oder denkmalpflegerischen Gründen angeordnet werden. In Frage kommen auch andere örtliche Bedürfnisse und Prioritäten, die dem Verkehr vorgehen. Die Kantone und Gemeinden können dabei all jene Massnahmen treffen, die ihnen im Rahmen der strassenverkehrsrechtli- chen Bundesvorschriften zur Verfügung stehen und die nach dem Grund- satz von Notwendigkeit und Verhältnismässigkeit zulässig sind (VerwGE B 2020/11 vom 19. August 2020 E. 2.4.1 mit Hinweisen [die Entscheide des Verwaltungsgerichtes sind abrufbar unter www.publikati- onen.sg.ch/rechtsprechung-gerichte]).</w:t>
      </w:r>
    </w:p>
    <w:p>
      <w:r>
        <w:t>Verkehrsanordnungen wie die vorliegende sind regelmässig mit komple- xen Interessenabwägungen verbunden. Die Abwägung der sich gegen- überstehenden Interessen muss in Würdigung der konkreten Situation er- folgen, wobei die Gewichtung der einzelnen Kriterien ins pflichtgemässe Ermessen der zuständigen Behörde fällt. Dabei liegt es in der Natur der Sache, dass die Behörde nie den Ansprüchen aller Betroffenen gerecht werden kann. Die Verantwortung für die Zweckmässigkeit und Wirksam- keit der Massnahmen liegt dann auch in erster Linie bei der verfügenden Behörde, die allerdings gehalten ist, ihr Ermessen nach sachlichen Krite- rien auszuüben. Ein Eingreifen der Rechtsmittelinstanz ist gerechtfertigt, wenn die verfügende Behörde von unhaltbaren tatsächlichen Annahmen ausgeht, bundesrechtswidrige Zielsetzungen verfolgt, bei der Ausgestal- tung der Massnahme ungerechtfertigte Differenzierungen vornimmt oder notwendige Differenzierungen unterlässt oder sich von erkennbar grund- rechtswidrigen Interessenabwägungen leiten lässt (vgl. bereits VerwGE B 2008/115 und 121 vom 19. Februar 2009 E. 2).</w:t>
      </w:r>
    </w:p>
    <w:p>
      <w:r>
        <w:t>3.a) Die Vorinstanz hält zur Begründung der Verkehrsanordnung sinnge- mäss dafür, dass sie gefährliche Fahrmanöver im Bereich der Hauszu- fahrt E.___strasse 7 verhindern solle. Die F.___strasse sei mit Ausnahme des Vorplatzes und Garagenvorplatzes von B.___ nicht ausgebaut und</w:t>
      </w:r>
    </w:p>
    <w:p>
      <w:r>
        <w:t>Entscheid des Sicherheits- und Justizdepartementes SG</w:t>
      </w:r>
    </w:p>
    <w:p>
      <w:r>
        <w:t>7/9 werde heute einzig durch den Rekurrenten als Eigentümer des Grund- stücks Nr. 0000 für die Bewirtschaftung seiner landwirtschaftlichen Flä- chen genutzt. Die klassierte Fläche sei nur 2 bis 2.3 Meter und für land- wirtschaftliche Fahrzeuge damit zu schmal. Die Zufahrt zu dessen Lie- genschaft sei über die G.___strasse und die E.___strasse weiterhin ge- währleistet. Ein der Anordnung entgegenstehendes öffentliches Interesse bestehe somit nicht (act. 1, Beilage 4.3 und act. 6).</w:t>
      </w:r>
    </w:p>
    <w:p>
      <w:r>
        <w:t>b) Entgegen der Auffassung der Vorinstanz erfordert der Erlass einer Ver- kehrsanordnung nach Art. 3 Abs. 4 SVG aber gerade das Vorliegen eines öffentlichen Interesses. Angesichts der Begründung der Vorinstanz ist weder ein öffentliches Interesse der (Verkehrs-)Sicherheit noch ein öf- fentliches Interesse des Schutzes der Strasse hinreichend dargetan:</w:t>
      </w:r>
    </w:p>
    <w:p>
      <w:r>
        <w:t>aa) Die Vorinstanz stellt bei der Verkehrsanordnung unter anderem auf die Angaben der Gesuchsteller in der Eingabe vom 16. März 2018 ab, wonach es bei der Hauszufahrt E.___strasse 7 zu einem Unfall gekom- men sei, bei dem die Gesuchstellerin vom Rekurrenten mutwillig ange- fahren worden sei. Dass sich dieser Vorfall überhaupt ereignet hat, kann aufgrund der Akten aber weder als dargetan noch als unbestritten gelten (vgl. act. 1, Beilage 3, Seite 3). Ohnehin steht der Erlass einer Verkehrs- anordnung aufgrund eines einzelnen, vermeintlich geschehenen Vorfalls nicht im öffentlichen Interesse. Weitere Vorfälle mit Bezug auf die Ver- kehrssicherheit auf der erwähnten Strasse wurden weder geltend ge- macht noch sind solche aus den Akten ersichtlich.</w:t>
      </w:r>
    </w:p>
    <w:p>
      <w:r>
        <w:t>bb) Verkehrsbeschränkungen nach Art. 3 Abs. 4 SVG zum "Schutz der Strasse" sind zwar zulässig, worunter Gründe baulicher Natur fallen. Die Bestimmung bildet hingegen keine hinreichende Grundlage, notwendige Unterhaltsarbeiten auf einer bereits sanierungsbedürftigen Strasse hin- auszuschieben, sondern allenfalls dafür, zum Schutz der Strasse zu ver- meiden, dass diese wegen zu hoher Beanspruchung durch Verkehrsteil- nehmer oder gewisser Arten davon sanierungsbedürftig wird (vgl. Ent- scheid VB.2005.00353 des Verwaltungsgerichtes Zürich vom 4. Mai 2006 E. 5.1.1, abrufbar unter https://www.zh.ch/de/politik-staat/streitigkeiten- vor-verwaltungsgericht/rechtsprechung-des-verwaltungsgerichts.html).</w:t>
      </w:r>
    </w:p>
    <w:p>
      <w:r>
        <w:t>Entscheid des Sicherheits- und Justizdepartementes SG</w:t>
      </w:r>
    </w:p>
    <w:p>
      <w:r>
        <w:t>8/9 Wie die Vorinstanz im angefochtenen Beschluss selbst einräumt, sind mit der Abklassierung der F.___strasse keine baulichen Massnahmen ver- bunden, weshalb aus dem Schutz der Strasse kein öffentliches Interesse an der Verkehrsanordnung einhergeht. Im Sinn der Vermeidung einer Sa- nierungsbedürftigkeit der F.___strasse kann ebensowenig ein öffentli- ches Interesse zum Schutz der Strasse erkannt werden. Die F.___strasse wird nach eigenen Angaben der Vorinstanz nur vom Rekurrenten und rein landwirtschaftlich, mitunter nicht in hohem Masse beansprucht (act. 1, Beilage 4.3, Seite 3).</w:t>
      </w:r>
    </w:p>
    <w:p>
      <w:r>
        <w:t>c) Insgesamt erwecken die Ausführungen der Vorinstanz den Eindruck, dass diese die Verkehrsanordnung hauptsächlich gestützt auf die priva- ten Interessen der Gesuchsteller verfügte. Sodann ging sie fälschlicher- weise davon aus, eine Verkehrsanordnung könne bereits angeordnet werden, sofern keine öffentlichen Interessen dagegen sprechen. Die Vo- rinstanz hat es mithin unterlassen, sämtliche öffentlichen und privaten In- teressen zu eruieren und gegeneinander abzuwägen. Die angefochtene Verfügung erging damit rechtsfehlerhaft.</w:t>
      </w:r>
    </w:p>
    <w:p>
      <w:r>
        <w:rPr>
          <w:b/>
        </w:rPr>
        <w:t>E. 4</w:t>
      </w:r>
    </w:p>
    <w:p>
      <w:r>
        <w:t>Nach dem Gesagten erweist sich der Rekurs als begründet. Die ange- fochtene Verfügung der Vorinstanz vom 23. Mai 2018 ist aufzuheben und die Sache zur umfassenden Interessenabwägung und zu neuem Ent- scheid an die Vorinstanz zurückzuweisen.</w:t>
      </w:r>
    </w:p>
    <w:p>
      <w:r>
        <w:t>5.a) Nach Art. 95 Abs. 1 VRP hat in Verwaltungsstreitigkeiten jener Be- teiligte die Verfahrenskosten zu tragen, dessen Begehren ganz oder teil- weise abgewiesen werden. Bei Rückweisung an die Vorinstanz zu erneu- tem Entscheid (mit noch offenem Ausgang) gilt der Rekurrent als vollstän- dig obsiegend. In Anwendung von Nr. 20.13.01 des Gebührentarifs für die Kantons- und Gemeindeverwaltung (sGS 821.5) ist die Entscheidge- bühr auf Fr. 2'000.‒ festzusetzen. Von der unterliegenden Vorinstanz werden keine Kosten erhoben (Art. 95 Abs. 3 VRP). Der obsiegende Re- kurrent hat keine Verfahrenskosten zu tragen. Ihm ist der geleistete Kos- tenvorschuss von Fr. 1'000.‒ entsprechend zurückzuerstatten.</w:t>
      </w:r>
    </w:p>
    <w:p>
      <w:r>
        <w:t>b) Die ausseramtliche Entschädigung wird den am Verfahren Beteiligten nach Obsiegen und Unterliegen auferlegt (Art. 98bis VRP). Sie ist von der</w:t>
      </w:r>
    </w:p>
    <w:p>
      <w:r>
        <w:t>Entscheid des Sicherheits- und Justizdepartementes SG</w:t>
      </w:r>
    </w:p>
    <w:p>
      <w:r>
        <w:t>9/9 unterliegenden Vorinstanz zu bezahlen. Im Rekursverfahren vor dem SJD beträgt das Honorar pauschal Fr. 500.‒ bis Fr. 6'000.‒. Eine Hono- rarnote wurde nicht eingereicht. Innerhalb des für eine Pauschale gesetz- ten Rahmens wird das Grundhonorar nach den besonderen Umständen, namentlich nach Art und Umfang der notwendigen Bemühungen, der Schwierigkeit des Falles und den wirtschaftlichen Verhältnissen der Be- teiligten, bemessen (Art. 19 und 22 Abs. 1 Bst. a der Honorarordnung [sGS 963.75]). Den Bemühungen des Rechtsvertreters des Rekurrenten (nebst den üblichen Mandantenkontakten die Einreichung einer Stellung- nahme) ist eine Entschädigung von Fr. 1'000.‒ (einschliesslich Barausla- gen) angemessen. Mangels Antrags kann die Mehrwertsteuer (MWSt) nicht hinzugerechnet werden (Art. 29 HonO).</w:t>
      </w:r>
    </w:p>
    <w:p>
      <w:r>
        <w:t>Demgemäss erlässt das Sicherheits- und Justizdepartement als Entscheid 1. Der Rekurs von A.___, Z.___, wird gutgeheissen und die Verfügung der Vorinstanz vom 23. Mai 2018 aufgehoben. Die Sache wird zur umfassenden Interessenabwägung und zu neuem Entscheid an die Vorinstanz zurückgewiesen.</w:t>
      </w:r>
    </w:p>
    <w:p>
      <w:r>
        <w:t>2. Die Entscheidgebühr von Fr. 2'000.‒ wird der Vorinstanz auferlegt. Auf die Erhebung wird verzichtet. Der von A.___ in Höhe von Fr. 1'000.– geleistete Kostenvorschuss wird ihm zurückerstattet.</w:t>
      </w:r>
    </w:p>
    <w:p>
      <w:r>
        <w:t>3. Die Gemeinde Z.___ entschädigt A.___ ausseramtlich mit Fr. 1'000.– (inkl. Barauslagen, ohne MWSt).</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