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RDRM.2019.118 vom 4. Juni 2021</w:t>
      </w:r>
    </w:p>
    <w:p>
      <w:r>
        <w:t>SG Gerichte, 2021-06-04, DE</w:t>
      </w:r>
    </w:p>
    <w:p>
      <w:r>
        <w:rPr>
          <w:b/>
        </w:rPr>
        <w:t xml:space="preserve">Quelle: </w:t>
      </w:r>
      <w:r>
        <w:t>https://mcp.opencaselaw.ch/entscheid/sg_publikationen_RDRM.2019.118</w:t>
      </w:r>
    </w:p>
    <w:p>
      <w:r>
        <w:t>FR: SG_PUBLIKATIONEN RDRM.2019.118 du 4 juin 2021</w:t>
      </w:r>
    </w:p>
    <w:p>
      <w:r>
        <w:t>IT: SG_PUBLIKATIONEN RDRM.2019.118 del 4 giugno 2021</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Formerforder- nisse erfüllt sind (Art. 43bis, Art. 45 Abs. 1, Art. 47 und 48 des Gesetzes über die Verwaltungsrechtspflege [sGS 951.1; abgekürzt VRP]). Auf den Rekurs ist einzutreten.</w:t>
      </w:r>
    </w:p>
    <w:p>
      <w:r>
        <w:t>Entscheid des Sicherheits- und Justizdepartementes SG</w:t>
      </w:r>
    </w:p>
    <w:p>
      <w:r>
        <w:t>6/8</w:t>
      </w:r>
    </w:p>
    <w:p>
      <w:r>
        <w:t>2.a) Nach Art. 14 Abs. 2 AsylG kann der Kanton mit Zustimmung des SEM einer ihm nach dem Asylgesetz zugewiesenen Person eine Aufent- haltsbewilligung erteilen, wenn die betroffene Person sich seit Einrei- chung des Asylgesuchs mindestens fünf Jahre in der Schweiz aufhält, der Aufenthaltsort der betroffenen Person den Behörden immer bekannt war und wegen der fortgeschrittenen Integration ein schwerwiegender per- sönlicher Härtefall (vgl. Art. 31 Abs. 1 der Verordnung über Zulassung, Aufenthalt und Erwerbstätigkeit [SR 142.201; abgekürzt VZAE]) vorliegt und keine Widerrufsgründe nach Art. 62 Abs. 1 AIG vorliegen. Will der Kanton von dieser Möglichkeit Gebrauch machen, so meldet er dies dem SEM unverzüglich (Art. 14 Abs. 3 AsylG).</w:t>
      </w:r>
    </w:p>
    <w:p>
      <w:r>
        <w:t>b) Die Rekurrentin hält sich seit zwölf Jahren und damit sehr lange in der Schweiz auf und verfügt über eine entsprechend gute soziale Integration, was zahlreiche Referenzschreiben belegen. Ihr Aufenthalt war den Be- hörden immer bekannt. Widerrufsgründe liegen nicht vor.</w:t>
      </w:r>
    </w:p>
    <w:p>
      <w:r>
        <w:t>Die dargelegte und zuletzt verschlechterte gesundheitliche Situation der Rekurrentin und die medizinische Versorgungslage im Herkunftsland sprechen für die Annahme eines schwerwiegenden persönlichen Härte- falls. Auch die sozioökonomische Situation alleinstehender Frauen in Äthiopien, die fehlende Bildung und Arbeitserfahrung im Herkunftsland, die familiäre Situation nach ihrer Flucht vor einer Zwangsheirat, die lange Abwesenheit von der Heimat, die sie als Jugendliche verlassenen hat, und das Fehlen eines tragfähigen Beziehungsnetzes sprechen gegen eine Rückkehr. Da eine solche aufgrund neuerer Rechtsprechung auch kaum zumutbar ist und die Rekurrentin mehrere Arbeitsangebote hat, die eine finanzielle Unabhängigkeit realistisch erscheinen lassen, ist eine weiterhin ungeregelte Anwesenheit nicht im öffentlichen Interesse.</w:t>
      </w:r>
    </w:p>
    <w:p>
      <w:r>
        <w:t>Insgesamt erfüllt die Rekurrentin grundsätzlich die Voraussetzungen für die Erteilung einer Aufenthaltsbewilligung nach Art. 14 Abs. 2 AsylG und ist das Gesuch um Erteilung einer humanitären Aufenthaltsbewilligung aus kantonaler Sicht zu unterstützten. Aufgrund der geschilderten Sach- und Rechtslage ist deshalb beim SEM um Zustimmung zur Erteilung einer Aufenthaltsbewilligung an die Rekurrentin wegen Vorliegens eines</w:t>
      </w:r>
    </w:p>
    <w:p>
      <w:r>
        <w:t>Entscheid des Sicherheits- und Justizdepartementes SG</w:t>
      </w:r>
    </w:p>
    <w:p>
      <w:r>
        <w:t>7/8 schwerwiegenden persönlichen Härtefalls nach Art. 14 Abs. 2 AsylG nachzusuchen (Art. 14 Abs. 3 AsylG).</w:t>
      </w:r>
    </w:p>
    <w:p>
      <w:r>
        <w:rPr>
          <w:b/>
        </w:rPr>
        <w:t>E. 3</w:t>
      </w:r>
    </w:p>
    <w:p>
      <w:r>
        <w:t>Auf die Erhebung einer Entscheidgebühr von der Vorinstanz wird ver- zichtet.</w:t>
      </w:r>
    </w:p>
    <w:p>
      <w:r>
        <w:rPr>
          <w:b/>
        </w:rPr>
        <w:t>E. 4</w:t>
      </w:r>
    </w:p>
    <w:p>
      <w:r>
        <w:t>Der Kanton (Migrationsamt) entschädigt G.___, SPAZ, ausseramtlich mit Fr. 200.–.</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