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I/2-2010/68 vom 25. August 2011</w:t>
      </w:r>
    </w:p>
    <w:p>
      <w:r>
        <w:t>Sg Verwaltungsrekurskommission, 2011-08-25, DE</w:t>
      </w:r>
    </w:p>
    <w:p>
      <w:r>
        <w:rPr>
          <w:b/>
        </w:rPr>
        <w:t xml:space="preserve">Quelle: </w:t>
      </w:r>
      <w:r>
        <w:t>https://mcp.opencaselaw.ch/entscheid/sg_publikationen_I_2-2010_68</w:t>
      </w:r>
    </w:p>
    <w:p>
      <w:r>
        <w:t>FR: SG_VERWALTUNGSREKURSKOMMISSION I/2-2010/68 du 25 août 2011</w:t>
      </w:r>
    </w:p>
    <w:p>
      <w:r>
        <w:t>IT: SG_VERWALTUNGSREKURSKOMMISSION I/2-2010/68 del 25 agosto 2011</w:t>
      </w:r>
    </w:p>
    <w:p>
      <w:pPr>
        <w:pStyle w:val="Heading2"/>
      </w:pPr>
      <w:r>
        <w:t>Regeste</w:t>
      </w:r>
    </w:p>
    <w:p>
      <w:r>
        <w:t>Art. 224 Abs. 1 StG (sGS 811.1) und Art. 167 Abs. 1 DBG (SR 642.11). Unabhängig vom Vorliegen eines monatlichen Überschusses oder Defizits ist von einem Erlass der ausstehenden Steuerschulden im Betrag von Fr. 19'915.20 abzusehen, wenn der Steuerpflichtige eine erhebliche Schuldenlast trägt, die er nur teilweise mit Ratenzahlungen vermindert und bei welcher es sich mindestens teilweise um typische Kleinkreditschulden handelt. In solchen Fällen kann der Fiskus nicht zugunsten anderer Gläubiger auf seine gesetzlichen Ansprüche verzichten, zumal ohne Gesamtsanierung keine dauernde Verbesserung der finanziellen Situation des Steuerpflichtigen erreicht werden kann (Verwaltungsrekurskommission, Abteilung I/2, 25. August 2011, I/2-2010/68).</w:t>
      </w:r>
    </w:p>
    <w:p>
      <w:pPr>
        <w:pStyle w:val="Heading2"/>
      </w:pPr>
      <w:r>
        <w:t>Erwägungen</w:t>
      </w:r>
    </w:p>
    <w:p>
      <w:r>
        <w:rPr>
          <w:b/>
        </w:rPr>
        <w:t>E. 1</w:t>
      </w:r>
    </w:p>
    <w:p>
      <w:r>
        <w:t>Die Eintretensvoraussetzungen sind von Amtes wegen zu prüfen. Die Verwaltungsrekurskommission ist zum Sachentscheid zuständig. Die Befugnis zur Rekurs- und Beschwerdeerhebung ist gegeben. Der Rekurs bzw. die Beschwerde vom 12. August 2010 ist rechtzeitig eingereicht worden. Er bzw. sie erfüllt in formeller und inhaltlicher Hinsicht die gesetzlichen Anforderungen (Art. 194 Abs. 1 und Art. 224 Abs. 4 des Steuergesetzes, sGS 811.1, abgekürzt: StG, bzw. Art. 6 der Verordnung des Eidgenössischen Finanzdepartements über die Behandlung von Erlassgesuchen für die direkte Bundessteuer, SR 642.121, abgekürzt: Steuererlassverordnung, in Verbindung mit Art. 2 lit. f und Art. 7 Abs. 1 der Verordnung zum Bundesgesetz über die direkte Bundessteuer, sGS 815.1, abgekürzt: Verordnung zum DBG; zur 30-tägigen Frist vgl. VRKE I/2-2009/22 + 53 vom 30. März 2010, E. 1). Auf den Rekurs und die Beschwerde ist einzutreten.</w:t>
      </w:r>
    </w:p>
    <w:p>
      <w:r>
        <w:rPr>
          <w:b/>
        </w:rPr>
        <w:t>E. 2</w:t>
      </w:r>
    </w:p>
    <w:p>
      <w:r>
        <w:t>Der Rekurrent und Beschwerdeführer stellt sinngemäss den Antrag auf Durchführung einer mündlichen Verhandlung. Im Erlassverfahren gelten die auch im ordentlichen Verfahren statuierten Verfahrensrechte und -pflichten (Richner/Frei/Kaufmann/Meuter, Handkommentar zum DBG, 2. Auflage 2009, N 39 zu Art. 167 DBG). Eine Verpflichtung zur Anordnung einer mündlichen Verhandlung zur Wahrung des rechtlichen Gehörs besteht im Rekurs- und Beschwerdeverfahren in Steuersachen nicht (vgl. Richner/Frei/Kaufmann/Meuter, a.a.O., N 10 zu Art. 142 DBG). Der Gehörsanspruch wird im Steuererlassverfahren durch schriftliche Eingaben gewahrt. Eine mündliche Verhandlung ist deshalb in der Streitsache nicht durchzuführen.</w:t>
      </w:r>
    </w:p>
    <w:p>
      <w:r>
        <w:rPr>
          <w:b/>
        </w:rPr>
        <w:t>E. 3</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Vorhandenes Vermögen schliesst den Steuererlass nicht von Vornherein aus. Massgebend ist vielmehr, ob die Belastung oder Verwertung dieses Vermögens als zumutbar erscheint. Dabei ist das Vermögen zum Verkehrswert einzusetzen (Art. 11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a.a.O., N 30 zu Art. 167 DBG). b) Die Vorinstanz bringt zur Hauptsache vor, der Erlass solle bestimmungsgemäss den Steuerschuldnern und nicht ihren Gläubigern zugute kommen. Das steuerberechtigte Gemeinwesen könne nicht zugunsten anderer Gläubiger auf seine gesetzlichen Ansprüche verzichten. Vielmehr müsse ein Erlass vom Entgegenkommen der anderen Gläubiger abhängig gemacht werden. Nach Prüfung der Steuerakten müsse festgestellt werden, dass Forderungen der 3. Klasse in der Höhe von Fr. 524'046.85 gegenüber Drittgläubigern bestünden. Es gebe keine Anhaltspunkte für einen Verzicht der anderen Gläubiger. Die Rückzahlung der Drittschulden dürfe den Forderungen der Steuerbehörden nicht vorangestellt werden. Die Gewährung eines einseitigen Steuererlasses sei somit ausgeschlossen. Der Rekurrent bzw. Beschwerdeführer macht im Wesentlichen geltend, er sei Verpflichtungen gegenüber Drittgläubigern eingegangen, um hauptsächlich die Kosten der veranlagten Steuern seit 2005 sowie die Anwalts- und Gerichtskosten aus dem laufenden Strafverfahren tragen zu können. Die dort anstehenden Schadenersatzansprüche beliefen sich auf ca. Fr. 500'000.--. Die finanzielle Situation habe sich durch kurz- bis mittelfristige Darlehen der Drittgläubiger nicht verschlechtert, sondern einfach verschoben. Die Finanzspritzen der Drittgläubiger hätten seinen Kopf über Wasser gehalten, das Problem aber nicht gelöst. Er habe stets versucht, einen Privatkonkurs zu verhindern. c) Der Rekurrent und Beschwerdeführer ist offensichtlich überschuldet und befriedigt nur einzelne Gläubiger. Gemäss seinen Angaben resultieren aus einem Gerichtsurteil Schadenersatzansprüche in der Gesamthöhe von Fr. 484'000.--. Hinzu kommt ein Kleinkredit bei der A AG von Fr. 10'000.--, welcher ratenweise abbezahlt wird und nun noch Fr. 6'196.40 beträgt. Bei der B AG sind noch Kreditkartenrechnungen von Fr. 1'850.45 offen. Diese werden ebenfalls ratenweise abbezahlt. Schliesslich bestehen zwei Privatdarlehen in der Höhe von Fr. 17'000.-- und Fr. 15'000.--, welche ebenfalls ratenweise zurückbezahlt werden. Der Rekurrent und Beschwerdeführer befriedigt damit verschiedene Gläubiger mit unterschiedlichen Ratenzahlungen. Bemühungen für eine gleichmässige Befriedigung aller Gläubiger im Rahmen einer Gesamtsanierung sind nicht nachgewiesen. Insbesondere macht der Rekurrent und Beschwerdeführer nicht geltend, die Schulden seien zufolge ausserordentlicher Aufwendungen, die in den persönlichen Verhältnissen begründet seien und für die er nicht einzustehen hätte, oder zufolge hoher Krankheits- oder Pflegekosten entstanden (Art. 10 Abs. 1 Steuererlassverordnung). Sowohl bezüglich der Kleinkreditschulden wie auch bezüglich der offenen Kreditkartenrechnungen und der Privatdarlehen ist deshalb davon auszugehen, dass sie einem - dem Einkommen nicht angepassten - überhöhten Lebensstandard dienten. Das Gerichtsurteil befindet sich nicht bei den Akten. Es ist daher nicht ersichtlich, woraus die Schadenersatzansprüche entstanden sind. Es ist aber davon auszugehen, dass auch sie nicht unter Art. 10 Abs. 1 Steuererlassverordnung fallen. In solchen Fällen kann der Fiskus nicht zugunsten anderer Gläubiger auf die gesetzlichen Ansprüche verzichten (Art. 10 Abs. 2 Steuererlassverordnung). Die Voraussetzungen für einen Erlass sind nur dann erfüllt, wenn die Begleichung der Steuerforderung zu einer Gefährdung der wirtschaftlichen Existenz des Steuerpflichtigen führt und für diesen ein Opfer bedeuten würde (Weidmann/Grossmann/Zigerlig, Wegweiser durch das st. gallische Steuerrecht, 6. Aufl. 1999, S. 411). Darauf kann sich der Rekurrent und Beschwerdeführer nicht berufen, denn er befindet sich bereits in einer wirtschaftlich schwierigen Lage, welche durch den Steuererlass nicht entscheidend zu verbessern ist. Eine langfristige und dauernde Sanierung der wirtschaftlichen Situation als grundlegendes Ziel eines Steuererlasses (Art. 1 Abs. 2 Steuererlassverordnung) könnte deshalb nicht erreicht werden. Vom Steuererlass profitieren würden die übrigen Gläubiger, welche bei einer Verbesserung der Schuldenlage des Rekurrenten und Beschwerdeführers erhöhte Chancen auf Rückzahlung ihrer Forderungen hätten. Der Zweck des Steuererlasses würde damit verfehlt, weil er gerade darin liegt, dem Steuerpflichtigen und nicht Dritten zugute zu kommen (Urteil des Bundesgerichts 2P.307/2004 vom 9. Dezember 2004, E. 3.2.). Dem Steuerpflichtigen wird zugemutet, dass er seinen Zahlungspflichten gegenüber dem Fiskus in gleichem Umfang wie gegenüber privaten Gläubigern nachkommt (Weidmann/Grossmann/Zigerlig, a.a.o., S. 411). Eine nachhaltige Entlastung der angespannten finanziellen Situation könnte nur im Rahmen einer Gesamtsanierung, bei der alle Gläubiger ganz oder teilweise auf ihre Forderungen verzichten müssten, erzielt werden. In diesem Fall könnte ein Steuererlass im selben prozentualen Umfang geprüft werden. Unter den aktuellen Umständen ist es aber nicht sachgerecht, dass der Fiskus vorauseilend auf seine Forderungen verzichtet (vgl. VRKE I/2-2010/14 vom 25. November 2010, E. 2c). Deshalb ist ungeachtet des Vorliegens eines monatlichen Überschusses oder Defizits von einem Erlass der Steuerschuld von insgesamt Fr. 19'915.20 oder allenfalls eines Teilbetrags davon abzusehen und der Rekurs und die Beschwerde sind abzuweisen.</w:t>
      </w:r>
    </w:p>
    <w:p>
      <w:r>
        <w:rPr>
          <w:b/>
        </w:rPr>
        <w:t>E. 4</w:t>
      </w:r>
    </w:p>
    <w:p>
      <w:r>
        <w:t>Dem Verfahrensausgang entsprechend sind die amtlichen Kosten dem Rekurrenten bzw. Beschwerdeführer aufzuerlegen (Art. 95 Abs. 1 VRP). Angemessen ist eine Entscheidgebühr von Fr. 500.-- (vgl. Art. 7 Ziff. 122 der Gerichtskostenverordnung, sGS 941.12). Der Kostenvorschuss von Fr. 500.-- ist zu verrechnen. Entscheid: 1.    Der Rekurs und die Beschwerde werden abgewiesen. 2.    Der Rekurrent und Beschwerdeführer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