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SG_VERWALTUNGSREKURSKOMMISSION I/1-2021/82 vom 16. Oktober 2000</w:t>
      </w:r>
    </w:p>
    <w:p>
      <w:r>
        <w:t>Sg Verwaltungsrekurskommission, 2000-10-16, DE</w:t>
      </w:r>
    </w:p>
    <w:p>
      <w:r>
        <w:rPr>
          <w:b/>
        </w:rPr>
        <w:t xml:space="preserve">Quelle: </w:t>
      </w:r>
      <w:r>
        <w:t>https://mcp.opencaselaw.ch/entscheid/sg_publikationen_I_1-2021_82</w:t>
      </w:r>
    </w:p>
    <w:p>
      <w:r>
        <w:t>FR: SG_VERWALTUNGSREKURSKOMMISSION I/1-2021/82 du 16 octobre 2000</w:t>
      </w:r>
    </w:p>
    <w:p>
      <w:r>
        <w:t>IT: SG_VERWALTUNGSREKURSKOMMISSION I/1-2021/82 del 16 ottobre 2000</w:t>
      </w:r>
    </w:p>
    <w:p>
      <w:pPr>
        <w:pStyle w:val="Heading2"/>
      </w:pPr>
      <w:r>
        <w:t>Regeste</w:t>
      </w:r>
    </w:p>
    <w:p>
      <w:r>
        <w:t>Art. 48 Abs. 1 lit. a Ziff. 2 StG (sGS 811.1). Da die Tochter ihren Lebensunterhalt am Stichtag durch eigene Erwerbseinkünfte hätte bestreiten können, wurden der Kinder- und der Versicherungsprämienabzug in der Veranlagung des Vaters zu Recht nicht gewährt (Verwaltungsrekurskommission, Abteilung I/1, 21. Oktober 2021, I/1-2021/82).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Zusammenfassend ist der Rekurs abzuweisen. Dem Verfahrensausgang entsprechend sind die amtlichen Kosten dem Rekurrenten aufzuerlegen (Art. 95 Abs. 1 VRP). Eine Entscheidgebühr von Fr. 600.− erscheint angemessen (Art. 7 Ziff. 122 der Gerichtskostenverordnung, sGS 941.12). Der Kostenvorschuss von Fr. 600.− ist damit zu verrechnen. Entscheid: 1. Der Rekurs wird abgewiesen. 2. Die Kosten des Rekursverfahrens von Fr. 600.− hat der Rekurrent zu bezahlen, unter Verrechnung des Kostenvorschusses in gleicher Höhe.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