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I/1-2018/197 vom 28. Oktober 2019</w:t>
      </w:r>
    </w:p>
    <w:p>
      <w:r>
        <w:t>Sg Verwaltungsrekurskommission, 2019-10-28, DE</w:t>
      </w:r>
    </w:p>
    <w:p>
      <w:r>
        <w:rPr>
          <w:b/>
        </w:rPr>
        <w:t xml:space="preserve">Quelle: </w:t>
      </w:r>
      <w:r>
        <w:t>https://mcp.opencaselaw.ch/entscheid/sg_publikationen_I_1-2018_197</w:t>
      </w:r>
    </w:p>
    <w:p>
      <w:r>
        <w:t>FR: SG_VERWALTUNGSREKURSKOMMISSION I/1-2018/197 du 28 octobre 2019</w:t>
      </w:r>
    </w:p>
    <w:p>
      <w:r>
        <w:t>IT: SG_VERWALTUNGSREKURSKOMMISSION I/1-2018/197 del 28 ottobre 2019</w:t>
      </w:r>
    </w:p>
    <w:p>
      <w:pPr>
        <w:pStyle w:val="Heading2"/>
      </w:pPr>
      <w:r>
        <w:t>Regeste</w:t>
      </w:r>
    </w:p>
    <w:p>
      <w:r>
        <w:t>Art. 44 Abs. 1 StG (sGS 811.1) und Art. 32 Abs. 1 DBG (SR 642.11). Abzugsfähige Vermögensverwaltungskosten sind Vergütungen, die Dritten für die Besorgung der allgemeinen Verwaltung von Gegenständen des Privatvermögens entrichtet werden. Dazu zählen sämtliche Aufwendungen, die mit der Erzielung der zugehörigen Einkünfte zusammenhängen und nicht zu einer Vermehrung des Vermögens führen, also die durch die Fremdverwaltung anfallenden Kosten für Depotgebühren, Aufwendungen für die Verwaltung von Wertschriften sowie Kosten für den Vermögensverwalter. Nicht abzugsfähig sind demgegenüber Kosten, die über die allgemeine Verwaltung hinausgehen und dazu dienen, die bestehenden Vermögensanlagen zu verbessern, insbesondere Kosten, die aus Transaktionen von beweglichem Kapitalvermögen stammen, und Aufwendungen für Finanz-, Anlage- oder Steuerberatung (Verwaltungsrekurskommission, Abteilung I/1, 28. Oktober 2019, I/1-2018/197).</w:t>
      </w:r>
    </w:p>
    <w:p>
      <w:pPr>
        <w:pStyle w:val="Heading2"/>
      </w:pPr>
      <w:r>
        <w:t>Erwägungen</w:t>
      </w:r>
    </w:p>
    <w:p>
      <w:r>
        <w:rPr>
          <w:b/>
        </w:rPr>
        <w:t>E. 1</w:t>
      </w:r>
    </w:p>
    <w:p>
      <w:r>
        <w:t>Betrifft das Verfahren sowohl die Kantonssteuern als auch die direkte Bundessteuer, sind zwei Entscheide zu fällen. Diese können zwar beide im gleichen Dokument enthalten sein; dieses muss jedoch eine getrennte Begründung und ein getrenntes Dispositiv aufweisen, oder zumindest ein Dispositiv, das die beiden Steuern auseinanderhält (BGE 130 II 509 E. 8.3). Nach einem neueren Urteil könne im Dispositiv sogar auf eine Unterscheidung zwischen beiden Steuern verzichtet werden, wenn die entschiedene Rechtsfrage im Bundesrecht und im harmonisierten kantonalen Recht gleich geregelt sei und für beide Kategorien von Steuern gleich begründet werden könne. Aus der Begründung müsse dann aber klar hervorgehen, dass der Entscheid sowohl für die direkte Bundessteuer als auch für die Kantons- und Gemeindesteuern gelte (BGE 135 II 260 E. 1.3.1). Gleichwohl entscheidet das Bundesgericht auch bei Fragen, die sowohl auf Bundes- als auch auf kantonaler Ebene übereinstimmend geregelt sind, mit separaten Dispositiven (vgl. z.B. Urteil des Bundesgerichts [BGer] 2C_560/2014 und 2C_561/2014 vom 30. September 2015). Im Einklang damit werden der Rekurs und die Beschwerde vorliegend in einem einzigen Dokument behandelt, wobei im gemeinsamen Dispositiv beide Steuern auseinandergehalten werden.</w:t>
      </w:r>
    </w:p>
    <w:p>
      <w:r>
        <w:rPr>
          <w:b/>
        </w:rPr>
        <w:t>E. 2</w:t>
      </w:r>
    </w:p>
    <w:p>
      <w:r>
        <w:t>Die Eintretensvoraussetzungen sind von Amtes wegen zu prüfen. Die Verwaltungsrekurskommission ist zum Sachentscheid zuständig. Die Befugnis zur Rechtsmittelerhebung ist gegeben. Rekurs und Beschwerde vom 11. Oktober 2018 sind rechtzeitig eingereicht worden. Sie erfüllen die gesetzlichen Anforderungen (Art. 194 Abs.1 des St. Galler Steuergesetzes, sGS 811.1, abgekürzt: StG; Art. 140 Abs. 2 des Bundesgesetzes über die direkte Bundessteuer, SR 642.11, abgekürzt: DBG; Art. 7 der Verordnung zum Bundesgesetz über die direkte Bundessteuer, sGS 815.1; Art. 41 lit. h Ziff. 1 des Gesetzes über die Verwaltungsrechtspflege, sGS 951.1, abgekürzt: VRP). Auf den Rekurs und die Beschwerde ist einzutreten.</w:t>
      </w:r>
    </w:p>
    <w:p>
      <w:r>
        <w:rPr>
          <w:b/>
        </w:rPr>
        <w:t>E. 3</w:t>
      </w:r>
    </w:p>
    <w:p>
      <w:r>
        <w:t>Aufl. 2017, Art. 32 DBG N 2 und 4; StB 44 Nr. 1 Ziff. 3). Für das Steuerrecht gilt der gefestigte Grundsatz, dass die Steuerbehörde die Beweislast für die steuerbegründenden Tatsachen trägt, während den Steuerpflichtigen die Beweislast für Tatsachen trifft, welche die Steuerschuld aufheben oder mindern (Zigerlig/Oertli/Hofmann, Das st. gallische Steuerrecht, 7. Aufl. 2014, S. 390). Im Kanton St. Gallen wird zur leichteren Beweisführung für Verwaltungskosten eine Pauschale von zwei Promille des durch Dritte verwalteten Wertschriftenvermögens zugelassen. Mit dieser Pauschalierung soll dem Steuerpflichtigen der oft schwierige Nachweis der tatsächlich angefallenen, abzugsfähigen Vermögensverwaltungskosten erspart werden (StB 44 Nr. 1 Ziff. 4.1). Gerade in umfassenden Dienstleistungspaketen von Banken und Vermögensverwaltern werden neben der abzugsrelevanten Vermögensverwaltung auch verschiedene Leistungen angeboten, die auf die Schaffung, Erweiterung oder Verbesserung der Vermögenslagen ausgerichtet sind. Diese Kosten sind nicht abziehbar. Will ein Steuerpflichtiger für ein umfassendes Dienstleistungspaket mehr als die Abzugspauschale in Abzug bringen, so hat er den Nachweis für die abzugsfähigen Auslagen mit einer detaillierten Kostenaufstellung zu erbringen. Kann er diesen Nachweis nicht rechtsgenüglich erbringen, so wird ihm lediglich die Verwaltungskostenpauschale auf dem von Dritten verwalteten Wertschriftenbestand zum Abzug zugelassen (Zigerlig/Oertli/Hofmann, a.a.O., S. 117; StB 44 Nr. 1 Ziff. 4.3). c) Die Rekurrenten und Beschwerdeführer schlossen mit der B AG einen Vertrag über die Vermögensverwaltung. Die B AG verwaltet ein Vermögen der Rekurrenten und Beschwerdeführer von rund 2,5 Millionen Franken, welches sich im Depot der C Bank AG befindet. Der Vertrag mit der B AG liegt den Akten nicht bei. Die Vorinstanz führte zu Recht aus, dass die B AG den Anlageprozess auf der Homepage mit Analyse, Strategie, Taktik, Umsetzung und Controlling umschreibe und es sich deshalb um ein umfassendes Mandat handle. Aus den Abrechnungen der B AG ergibt sich, dass mit den Rekurrenten und Beschwerdeführern ein Verwaltungshonorar von 3 ‰ des verwalteten Vermögens vereinbart und dieses im Jahr 2017 quartalsweise in Rechnung gestellt wurde. Insgesamt bezahlten die Rekurrenten und Beschwerdeführer der B AG im Jahr 2017 ein Honorar von Fr. 8'130.30. Diese Kosten unterteilte die B AG in passive (55 %) und aktive (45 %) Verwaltungskosten. Die passiven Verwaltungskosten von Fr. 4'471.65 brachten die Rekurrenten und Beschwerdeführer in der Steuererklärung 2017 vom steuerbaren Einkommen in Abzug, wobei der Abzug von der Vorinstanz nicht gewährt wurde. Mit der Einsprache vom 19. Juli 2018 reichten die Rekurrenten und Beschwerdeführer ein Schreiben der B AG vom 10. Juli 2018 ein, worin die B AG die "wichtigsten passiven Tätigkeiten der Vermögensverwaltung" aufzählte (quartalsweiser Performancerapport mit entsprechenden Erläuterungen, quartalsweise Vermögensübersicht mit grafischen Darstellungen der Entwicklung, Kontrolle der Bankgeschäfte und Fälligkeiten, Einkauf von Researchmaterial und betriebliche Aufwendungen für die Einhaltung der Regularien). Im Einspracheverfahren forderte die Vorinstanz die Rekurrenten und Beschwerdeführer mit Schreiben vom 10. August 2018 auf, die Details zur Zusammensetzung und Ermittlung der Vermögensverwaltungskosten der B AG einzureichen. Die Rekurrenten und Beschwerdeführer wurden darauf hingewiesen, dass der Ausweis über die Kosten für eine steuerrechtliche Beurteilung vollständig transparent sein müsse. Jede Kostenart der Gesamtkosten sei detailliert aufzuschlüsseln, Aufbewahrungsgebühren seien einzeln je Titel nachzuweisen, und es sei zu belegen, welche einzelnen Kosten in den passiven Kosten verrechnet worden seien, insbesondere wie der in Rechnung gestellte Betrag konkret zustande gekommen sei. Daraufhin reichten die Rekurrenten und Beschwerdeführer ein Schreiben der B AG vom 6. September 2018 mit einer "detaillierten Aufstellung über die passiven Tätigkeiten der Vermögensverwaltung" ein. Danach ergibt sich der Betrag von Fr. 4'471.65 für passive Verwaltungskosten folgendermassen: 10,5 Stunden für Wiederanlagen von fälligen Anlagen (Fr. 2'650.–), 3 Stunden für die Kontrolle von Bankauszügen (Fr. 750.–), 0,5 Stunden für die Darstellung der Performance (Fr. 200.–), 0,22 Stunden für das quartalsweise Reporting (Fr. 55.–), 2 Stunden für die Erläuterung der Performance und schriftliches Reporting (Fr. 800.–) sowie Porto und Material (Fr. 41.65). Es ist unbestritten, dass der Auftrag der B AG Dienstleistungen umfasst, die über die allgemeine Verwaltung hinausgehen. Insbesondere wenn ein Honorar vereinbart wird, das abhängig von der Höhe des verwalteten Vermögens ist, ist davon auszugehen, dass die Tätigkeit hauptsächlich auf die Vermögensvermehrung ausgerichtet ist. Das vereinbarte Honorar von 3 ‰ des verwalteten Vermögens wurde anfangs von der B AG in 55 % passive und 45 % aktive Verwaltungskosten aufgeteilt. Nachdem diese pauschale Aufteilung der Vorinstanz nicht detailliert genug war, erstellte die B AG eine stundenweise Abrechnung. Die Vorinstanz hielt zu Recht fest, dass damit versucht worden sei, die anfänglich pauschal ausgewiesenen passiven Verwaltungskosten mittels nachträglich erstellter Belege konkret auszuweisen. Bei der Abrechnung vom 6. September 2018 handelt es sich offensichtlich um eine "Rückwärtsrechnung". Diese genügt den Anforderungen an eine detaillierte Kostenaufstellung nicht. Insbesondere weist die Abrechnung keine einzelnen Tätigkeiten je Titel, sondern lediglich stundenweise Tätigkeiten aus. Damit kann nicht rechtsgenüglich nachvollzogen werden, welche einzelne Tätigkeit je Titel tatsächlich der allgemeinen Verwaltung und nicht der Vermögensvermehrung diente. Anhand der Abrechnung ist auch nicht nachvollziehbar, wann die Tätigkeiten ausgeführt wurden. Den quartalsweisen Abrechnungen gemäss fielen in jedem Quartal 55 % passive Verwaltungskosten an. Mit der Vorinstanz ist übereinzustimmen, dass dies nicht möglich ist. Die meisten Kosten entstanden gemäss Abrechnung vom 6. September 2018 aufgrund der Wiederanlage fällig gewordener Titel. Es wurden aber nicht in jedem Quartal gleich viele Titel wiederangelegt. So wurden gemäss der Aufstellung "Rückzahlungen und Wiederanlagen im Jahr 2017" im Januar ein Titel, im März drei Titel, im Mai ein Titel, im Juni zwei Titel und im Juli, August und Oktober je ein Titel wiederangelegt. Damit ist weder die pauschale Aufteilung der Kosten in 55 % passive und 45 % aktive Vermögensverwaltungskosten noch die stundenweise Abrechnung vom 6. September 2018 nachvollziehbar. Die Vor­instanz hat deshalb zu Recht festgestellt, dass mangels vollständiger transparenter Aufteilung je Titel und Arbeitsschritt ein Rückschluss auf allfällig steuerlich abzugsfähige Kosten nicht möglich ist. Die Rekurrenten und Beschwerdeführer kamen ihrer Beweispflicht nicht in genügendem Mass nach (vgl. auch SGE 2004 Nr. 15 E. 4/b/bb). d) Zusammenfassend ergibt sich, dass es den Rekurrenten und Beschwerdeführern nicht gelingt, den Nachweis für abzugsfähige Auslagen für die Vermögensverwaltung durch die B AG in der Höhe von Fr. 4'471.65 zu erbringen. Dagegen, dass die Vorinstanz diesen Abzug nicht zugelassen hat, ist somit nichts einzuwenden. Das von der B AG verwaltete Vermögen von rund 2,5 Millionen Franken befindet sich im Depot der C Bank AG. Für die allgemeine Verwaltung des Vermögens durch die C Bank AG wurde bereits ein Abzug in der Höhe von Fr. 7'969.70, welcher über der möglichen Abzugspauschale liegt, gewährt. Der Rekurs und die Beschwerde sind demzufolge abzuweisen.</w:t>
      </w:r>
    </w:p>
    <w:p>
      <w:r>
        <w:rPr>
          <w:b/>
        </w:rPr>
        <w:t>E. 4</w:t>
      </w:r>
    </w:p>
    <w:p>
      <w:r>
        <w:t>Dem Verfahrensausgang entsprechend gehen die Verfahrenskosten zulasten der Rekurrenten und Beschwerdeführer (Art. 95 Abs. 1 VRP, Art. 144 Abs. 1 DBG). Eine Gebühr von je Fr. 600.– ist angemessen (Art. 144 Abs. 5 DBG, Art. 7 Ziff. 122 der Gerichtskostenverordnung [sGS 941.12]). Die Kostenvorschüsse in gleicher Höhe sind zu verrechnen. Entscheid: 1.  Der Rekurs wird abgewiesen. 2.  Die Beschwerde wird abgewiesen. 3.  Die Rekurrenten und Beschwerdeführer bezahlen die amtlichen Kosten von je Fr. 600.– unter Verrechnung der Kostenvorschüsse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