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IV-2024/157 vom 3. April 2025</w:t>
      </w:r>
    </w:p>
    <w:p>
      <w:r>
        <w:t>Sg Verwaltungsrekurskommission, 2025-04-03, DE</w:t>
      </w:r>
    </w:p>
    <w:p>
      <w:r>
        <w:rPr>
          <w:b/>
        </w:rPr>
        <w:t xml:space="preserve">Quelle: </w:t>
      </w:r>
      <w:r>
        <w:t>https://mcp.opencaselaw.ch/entscheid/sg_publikationen_IV-2024_157</w:t>
      </w:r>
    </w:p>
    <w:p>
      <w:r>
        <w:t>FR: SG_VERWALTUNGSREKURSKOMMISSION IV-2024/157 du 3 avril 2025</w:t>
      </w:r>
    </w:p>
    <w:p>
      <w:r>
        <w:t>IT: SG_VERWALTUNGSREKURSKOMMISSION IV-2024/157 del 3 aprile 2025</w:t>
      </w:r>
    </w:p>
    <w:p>
      <w:pPr>
        <w:pStyle w:val="Heading2"/>
      </w:pPr>
      <w:r>
        <w:t>Regeste</w:t>
      </w:r>
    </w:p>
    <w:p>
      <w:r>
        <w:t>Führerausweisentzug (Warnungsentzug) (Art. 16a-c SVG). Strafrechtlich wurde der Rekurrent aufgrund einer Missachtung des Vortritts wegen einfacher Verletzung von Verkehrsregeln im Sinn von Art. 90 Abs. 1 SVG verurteilt. Aus diesem Umstand kann jedoch nicht darauf geschlossen werden, es liege bloss eine leichte Widerhandlung im Sinne von Art. 16a SVG vor. Die einfache Verkehrsregelverletzung im Sinne von Art. 90 Abs. 1 SVG umfasst administrativrechtlich sowohl die leichte als auch die mittelschwere Widerhandlung nach Art. 16a und 16b SVG. Das Einbiegen des Rekurrenten unter Missachtung des signalisierten Vortrittsrechts hat zwar nicht zu einer Kollision und zu tatsächlichen Verletzungen anderer Verkehrsteilnehmer geführt, aber doch eine konkrete Gefahr für die Lenkerin und den Beifahrer des vortrittsberechtigten Personenwagens geschaffen. Es bestand jedoch die konkrete Gefahr einer Kollision und somit einer Körperverletzung. Vorliegend wurde eine mittelschwere Widerhandlung bejaht (Verwaltungsrekurskommission, Abteilung IV, 3. April 2025, IV-2025/157).</w:t>
      </w:r>
    </w:p>
    <w:p>
      <w:pPr>
        <w:pStyle w:val="Heading2"/>
      </w:pPr>
      <w:r>
        <w:t>Erwägungen</w:t>
      </w:r>
    </w:p>
    <w:p>
      <w:r>
        <w:rPr>
          <w:b/>
        </w:rPr>
        <w:t>E. 1</w:t>
      </w:r>
    </w:p>
    <w:p>
      <w:r>
        <w:t>Die Eintretensvoraussetzungen sind von Amtes wegen zu prüfen. Die VRK ist zum Sach- entscheid zuständig. Die Befugnis zur Rechtsmittelerhebung ist gegeben. Der Rekurs vom 18. Dezember 2024 ist rechtzeitig eingereicht worden und erfüllt in formeller und inhaltlicher Hinsicht die gesetzlichen Anforderungen (Art. 41 lit. gbis, 45, 47 und 48 des Gesetzes über die Verwaltungsrechtspflege, sGS 951.1, abgekürzt: VRP). Auf den Rekurs ist einzutreten.</w:t>
      </w:r>
    </w:p>
    <w:p>
      <w:r>
        <w:rPr>
          <w:b/>
        </w:rPr>
        <w:t>E. 2</w:t>
      </w:r>
    </w:p>
    <w:p>
      <w:r>
        <w:t>Aufl. 2015, Art. 36 SVG N 36 m.w.H.). d) aa) Ein Strafurteil vermag die Verwaltungsbehörde grundsätzlich nicht zu binden. Aller- 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(BGE 139 II 95 E. 3.2 m.w.H.). In der rechtlichen Würdigung des Sachverhalts ist die Verwaltungsbe- hörde demgegenüber frei, ausser die rechtliche Qualifikation hängt stark von der Würdigung von Tatsachen ab, die der Strafrichter besser kennt, etwa weil er den Beschuldigten per- sönlich einvernommen hat (PH. WEISSENBERGER, a.a.O., Vorbemerkungen zu Art. 16 ff. SVG N 10; BGer 1C_453/2018 vom 22. August 2019 E. 2.1 m.w.H.). IV-2024/157 5/8</w:t>
      </w:r>
    </w:p>
    <w:p>
      <w:r>
        <w:t>bb) In tatsächlicher Hinsicht wird nicht bestritten, dass der Rekurrent das Vortrittsrecht miss- achtet hat. Die Vorbringen des Rekurrenten bezüglich strafrechtlicher Verurteilung wegen einfacher Verkehrsregelverletzung betreffen nicht die tatsächlichen Feststellungen, son- dern die rechtliche Würdigung im Strafverfahren. Strafrechtlich wurde er wegen einfacher Verletzung von Verkehrsregeln im Sinn von Art. 90 Abs. 1 SVG verurteilt. Aus diesem Um- stand kann jedoch nicht darauf geschlossen werden, es liege bloss eine leichte Widerhand- lung im Sinne von Art. 16a SVG vor. Die einfache Verkehrsregelverletzung im Sinne von Art. 90 Abs. 1 SVG umfasst administrativrechtlich sowohl die leichte als auch die mittel- schwere Widerhandlung nach Art. 16a und 16b SVG (VRKE IV-2024/42 vom 15. August 2024 E. 2c, im Internet abrufbar unter: www.gerichte.sg.ch; BGer 1C_259/2011 vom 27. September 2011 E. 3.4 und 1C_282/2011 vom 27. September 2011 E. 2.4). e) Beim Vortrittsrecht handelt es sich um eine Grundregel des Strassenverkehrs (Entscheid des Verwaltungsgerichts [VerwGE] B 2016/63 vom 28. September 2017 E. 4.1) bzw. um eine für die Verkehrssicherheit objektiv wichtige Vorschrift, deren Missachtung eine erheb- liche Gefährdung der Verkehrssicherheit nach sich zieht (BGer 1C_218/2009 vom 26. No- vember 2009 E. 7). Wer auf einer Hauptstrasse fährt, darf davon ausgehen, dass sich an- dere Verkehrsteilnehmer – insbesondere solche, die von einer Nebenstrasse in die Haupt- strasse einbiegen wollen – an die Vortrittsregelung halten (vgl. DÄHLER/RUHE, in: Handbuch Strassenverkehrsrecht, Basel 2018, § 3 N 68). So habe die vortrittsberechtigte Lenkerin gemäss ihren Angaben den von links aus einer Nebenstrasse einfahrenden Rekurrenten zwar gesehen, sie sei jedoch davon ausgegangen, dass er auf Höhe der Verkehrsinsel in der Mitte der Hauptstrasse anhalte; stattdessen habe er voll aufs Gaspedal gedrückt. Sie habe voll auf die Bremse treten müssen (act. 6/19). Das Einbiegen des Rekurrenten in die D.__strasse unter Missachtung des signalisierten Vortrittsrechts hat zwar nicht zu einer Kol- lision und zu tatsächlichen Verletzungen anderer Verkehrsteilnehmer geführt, aber doch eine konkrete Gefahr für die Lenkerin und den Beifahrer des vortrittsberechtigten Perso- nenwagens geschaffen (vgl. VerwGE B 2016/63 vom 28. September 2017 E. 5.1). Dass es zu keiner Kollision kam, ist soweit ersichtlich einzig der umgehenden Einleitung des Brems- manövers der vortrittsberechtigten Lenkerin zu verdanken. Es bestand jedoch die konkrete Gefahr einer Kollision und somit einer Körperverletzung. Dass der vortrittsberechtigten Len- kerin nicht der Schreck in die Knochen gefahren sei (act. 6/20), lässt die Gefährdung an sich nicht als leicht erscheinen. Den Ausführungen des Rekurrenten bezüglich besonders leichter Gefährdung kommt im Übrigen keine Bedeutung zu, zumal er selbst zumindest von einer leichten Gefährdung ausgeht. Die Vorinstanz hat demnach zu Recht – unabhängig vom Grad des Verschuldens – auf eine mittelschwere Widerhandlung geschlossen. IV-2024/157 6/8</w:t>
      </w:r>
    </w:p>
    <w:p>
      <w:r>
        <w:rPr>
          <w:b/>
        </w:rPr>
        <w:t>E. 3</w:t>
      </w:r>
    </w:p>
    <w:p>
      <w:r>
        <w:t>Zu prüfen ist weiter, ob die Vorinstanz zu Recht eine Entzugsdauer von vier Monaten verfügte. a) Gemäss Art. 16b Abs. 2 lit. b SVG wird der Führerausweis nach einer mittelschweren Widerhandlung für mindestens vier Monate entzogen, wenn in den vorangegangenen zwei Jahren der Ausweis einmal wegen einer schweren oder mittelschweren Widerhandlung ent- zogen war. Bei der Festsetzung der Dauer des Lernfahr- oder Führerausweisentzugs sind die Umstände des Einzelfalls zu berücksichtigen, namentlich die Gefährdung der Verkehrs- sicherheit, das Verschulden, der Leumund als Motorfahrzeugführer sowie die berufliche Notwendigkeit, ein Motorfahrzeug zu führen. Die Mindestentzugsdauer darf jedoch nicht unterschritten werden (Art. 16 Abs. 3 SVG). b) Gemäss IVZ-Auszug (act. 6/27) wurde dem Rekurrenten der Führerausweis mit Verfü- gung vom 25. August 2022 wegen einer mittelschweren Widerhandlung für die Dauer eines Monats vom 24. Februar bis 23. März 2023 und somit in den vorangegangenen zwei Jahren entzogen. Der Führerausweis ist daher gemäss Art. 16b Abs. 2 lit. b SVG für mindestens vier Monate zu entziehen. Die vorinstanzlich verfügte Entzugsdauer von vier Monaten ent- spricht der gesetzlichen Mindestentzugsdauer, die nach bundesgerichtlicher Rechtspre- chung zu Art. 16 Abs. 3 SVG selbst bei einer beruflichen oder persönlichen Angewiesenheit des Betroffenen auf den Führerausweis und bei einem ungetrübten automobilistischen Leu- mund nicht unterschritten werden darf (vgl. BGE 132 II 234 E. 2.3). Demensprechend ist auch die Entzugsdauer von vier Monaten nicht zu beanstanden. Der Rekurs ist somit abzu- weisen.</w:t>
      </w:r>
    </w:p>
    <w:p>
      <w:r>
        <w:rPr>
          <w:b/>
        </w:rPr>
        <w:t>E. 4</w:t>
      </w:r>
    </w:p>
    <w:p>
      <w:r>
        <w:t>Dem Verfahrensausgang entsprechend sind die amtlichen Kosten vom Rekurrenten zu bezahlen (Art. 95 Abs. 1 VRP). Eine Entscheidgebühr von Fr. 1'500.– erscheint angemes- sen (vgl. Art. 7 Ziff. 122 der Gerichtskostenverordnung, sGS 941.12). Der Kostenvorschuss von Fr. 1'500.– ist damit zu verrechnen. Zufolge Abweisung des Rekurses sind keine aus- seramtlichen Kosten zu entschädigen (Art. 98bis VRP). IV-2024/157 7/8</w:t>
      </w:r>
    </w:p>
    <w:p>
      <w:r>
        <w:t>Entscheid: 1. Der Rekurs wird abgewiesen. 2. Der Rekurrent hat die amtlichen Kosten von Fr. 1'500.– zu bezahlen, unter Verrech- nung des Kostenvorschusses in gleicher Höhe. 3. Ausseramtliche Kosten werden nicht entschädigt. IV-2024/157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