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IV-2021/27 vom 1. September 2017</w:t>
      </w:r>
    </w:p>
    <w:p>
      <w:r>
        <w:t>Sg Verwaltungsrekurskommission, 2017-09-01, DE</w:t>
      </w:r>
    </w:p>
    <w:p>
      <w:r>
        <w:rPr>
          <w:b/>
        </w:rPr>
        <w:t xml:space="preserve">Quelle: </w:t>
      </w:r>
      <w:r>
        <w:t>https://mcp.opencaselaw.ch/entscheid/sg_publikationen_IV-2021_27</w:t>
      </w:r>
    </w:p>
    <w:p>
      <w:r>
        <w:t>FR: SG_VERWALTUNGSREKURSKOMMISSION IV-2021/27 du 1 septembre 2017</w:t>
      </w:r>
    </w:p>
    <w:p>
      <w:r>
        <w:t>IT: SG_VERWALTUNGSREKURSKOMMISSION IV-2021/27 del 1 settembre 2017</w:t>
      </w:r>
    </w:p>
    <w:p>
      <w:pPr>
        <w:pStyle w:val="Heading2"/>
      </w:pPr>
      <w:r>
        <w:t>Regeste</w:t>
      </w:r>
    </w:p>
    <w:p>
      <w:r>
        <w:t>Art. 16cbis, Art. 16c Abs. 1 lit. a, Art. 16c Abs. 2 lit. abis, Art. 90 Abs. 3, Art. 90 Abs. 4 lit. b SVG (SR 741.01). Der Rekurrent überschritt im Ausland die zulässige Höchstgeschwindigkeit von 40 km/h um 57 km/h und wurde dort mit einer Geldstrafe von 555 Euro und einem zweiwöchigen Fahrverbot sanktioniert. Diese Auslandtat führt zusätzlich zu einem Führerausweisentzug in der Schweiz. Da der Rekurrent mit einer mittelschweren Widerhandlung im Informationssystem über die Verkehrszulassung verzeichnet ist, bei dieser früheren Widerhandlung aber nur im Besitz des Führerausweises der Spezialkategorie M und der Führerausweisentzug aufgrund des damaligen Alters von 16 Jahren nicht auf Kategorien und Unterkategorien ausgedehnt werden konnte, darf die Entzugsdauer die am Begehungsort im Ausland verfügte Dauer des Fahrverbots nicht überschreiten; insbesondere ist das Kaskadensystem nicht anwendbar (Verwaltungsrekurskommission, Abteilung IV, 28. Oktober 2021, IV-2021/27).</w:t>
      </w:r>
    </w:p>
    <w:p>
      <w:pPr>
        <w:pStyle w:val="Heading2"/>
      </w:pPr>
      <w:r>
        <w:t>Erwägungen</w:t>
      </w:r>
    </w:p>
    <w:p>
      <w:r>
        <w:rPr>
          <w:b/>
        </w:rPr>
        <w:t>E. 1</w:t>
      </w:r>
    </w:p>
    <w:p>
      <w:r>
        <w:t>Die Eintretensvoraussetzungen sind von Amtes wegen zu prüfen. Die VRK ist zum Sachentscheid zuständig. Die Befugnis zur Rechtsmittelerhebung ist gegeben. Der Rekurs vom 16. Februar 2021 ist rechtzeitig eingereicht worden und erfüllt zusammen mit der Ergänzung vom 4. März 2021 in formeller und inhaltlicher Hinsicht die gesetzlichen Anforderungen (Art. 41 lit. g bis , 45, 47 und 48 des Gesetzes über die Verwaltungsrechtspflege, sGS 951.1, abgekürzt: VRP). Auf den Rekurs ist einzutreten.</w:t>
      </w:r>
    </w:p>
    <w:p>
      <w:r>
        <w:rPr>
          <w:b/>
        </w:rPr>
        <w:t>E. 2</w:t>
      </w:r>
    </w:p>
    <w:p>
      <w:r>
        <w:t>Mit Eingabe vom 4. März 2021 beantragte der Rekurrent zunächst, dem Rekurs sei aufschiebende Wirkung zu gewähren. Gemäss Art. 51 Abs. 1 VRP hat der Rekurs grundsätzlich aufschiebende Wirkung, wenn die Vorinstanz nicht aus wichtigen Gründen die Vollstreckbarkeit anordnet. Mit Schreiben der VRK vom 17.  Februar 2021 wurde bereits darauf hingewiesen, dass der Rekurs aufschiebende Wirkung habe. Dies bedeute, dass die angefochtene Verfügung während des Rekursverfahrens keine Wirkung entfalte, selbst wenn dieses über den 4. August 2021 hinaus dauern sollte. So ordnete die Vorinstanz in Ziffer 1 Abs. 2, 5 und 6 der angefochtenen Verfügung an, dass dem Rekurrenten der Führerausweis und allfällig vorhandene weitere Ausweise vom 4. August 2021 bis und mit 3. Januar 2022 entzogen würden. Hierbei handelt es sich jedoch um eine vollstreckungsrechtliche Anordnung, die separat verfügt werden müsste. Darauf ist indessen nicht weiter einzugehen, denn der Abgabetermin (4. August 2021) ist vorüber, weshalb Ziffer 1 Abs. 2, 5 und 6 zufolge Gegenstandslosigkeit aufzuheben ist. Die Vorinstanz wird diesbezüglich nach Eintritt der Rechtskraft der Sachverfügung allenfalls eine Vollstreckungsverfügung zu erlassen haben (Entscheid der VRK [VRKE] IV-2017/149 vom 4. Februar 2019 E.2, im Internet abrufbar unter www.sg.ch/recht/gerichte und dort unter Rechtsprechung). Allerdings hätte Ziffer 1 Abs. 2, 5 und 6 der angefochtenen Verfügung auch aufgehoben werden müssen, wenn die Abgabefrist nicht bereits abgelaufen wäre, und zwar wegen unzulässiger Vermischung von Erkenntnis- und Vollstreckungsverfahren; dies ist bei der Kostenverlegung zu berücksichtigen.</w:t>
      </w:r>
    </w:p>
    <w:p>
      <w:r>
        <w:rPr>
          <w:b/>
        </w:rPr>
        <w:t>E. 3</w:t>
      </w:r>
    </w:p>
    <w:p>
      <w:r>
        <w:t>Weiter machte der Rekurrent eine Verletzung des rechtlichen Gehörs geltend. Eine Verwaltungsbehörde habe ihre Verfügung zu begründen und bekanntzugeben, von welchen Überlegungen sie sich habe leiten lassen. Als Minimum sei von einer Verwaltungsbehörde zu erwarten, dass sie sich zu den Tatbestandsmerkmalen äussere, was vorliegend nicht der Fall sei. a) Die Bundesverfassung (SR 101, abgekürzt: BV) garantiert auf Verfassungsstufe Verfahrensrechte. Sie umreisst mit Art. 29 und 30 bis 32 BV die verfassungsrechtlichen Anforderungen an rechtsstaatliche Verfahren vor Behörden in allgemeiner Weise; hinzu kommt Art. 29a BV. Zum einen sind die Verfahrensgrundrechte mit der Umschreibung der Anforderungen an Verfahren institutioneller Natur. Zum anderen gewährleisten sie den von Verfahren Betroffenen umfassenden grundrechtlichen Verfahrensschutz. Trotz unterschiedlicher Ausrichtung der Einzelnormen und ihrer Teilgehalte sind sie – unter Einbezug der Konvention zum Schutze der Menschenrechte und Grundfreiheiten (SR 0.101, abgekürzt EMRK) und des UNO-Pakts II (SR 0.103.2) – als einheitliches Normengebilde zur Sicherung rechtsstaatlicher Verfahren zu verstehen und bei Auslegung und Anwendung sowie Konkretisierung und Weiterbildung aufeinander zu beziehen. Das rechtliche Gehör etwa ist ein wichtiger, in Art. 29 Abs. 2 BV eigens aufgeführter Teilaspekt des Grundsatzes eines gerechten Verfahrens. Der Anspruch auf ein gerechtes Verfahren bildet für sämtliche Verfahrensarten ein offenes Grundprinzip zur Sicherung rechtsstaatlicher Verfahren. Art. 29 Abs. 1 BV ist Grundtatbestand der im Einzelnen ausgebildeten verfassungsmässigen Verfahrensrechte und grundlegender Ausdruck des prozessualen Fairnessgrundsatzes (vgl. Steinmann, St. Galler Kommentar, 3. Aufl. 2014, Art. 29 BV N 4 und 39; Häfelin/Müller/Uhlmann, Allgemeines Verwaltungsrecht, 8. Aufl. 2020, N 1041). Aus Art. 29 Abs. 2 BV ergibt sich auch der Mindestanspruch auf Begründung einer Verfügung. Sie entspricht den Anforderungen dieser Norm, wenn die Betroffenen dadurch in die Lage versetzt werden, die Tragweite der Verfügung oder Entscheidung zu beurteilen und diese in voller Kenntnis der Umstände an eine höhere Instanz weiterzuziehen. Die Behörde ist aber nicht verpflichtet, sich zu allen Rechtsvorbringen der Parteien zu äussern. Vielmehr kann sie sich auf die ihr für die Verfügung oder den Entscheid wesentlichen Gesichtspunkte beschränken. Es genügt, wenn ersichtlich ist, von welchen Überlegungen sich die Behörde leiten liess (Häfelin/Müller/Uhlmann, a.a.O., N 1070 f.). b) Die Vorinstanz führte in der angefochtenen Verfügung gestützt auf die Eingabe des Rekurrenten vom 29. Dezember 2020 aus, er habe gemäss Bescheid der Bezirkshauptmannschaft Feldkirch innerorts die erlaubte Höchstgeschwindigkeit von 40 km/h um 57 km/h überschritten, wofür ihm die Lenkberechtigung für Österreich für die Dauer von zwei Wochen aberkannt worden sei. Damit erfülle er gemäss Bundesgerichtspraxis die schwere Widerhandlung nach Art. 16c Abs. 1 lit. a SVG, womit die Voraussetzung von Art. 16c bis Abs. 1 Bst. b SVG ebenfalls erfüllt sei. Die konkreten Umstände, welche zur massiven Geschwindigkeitsübertretung geführt hätten, seien nicht relevant. Auch für Führerausweisentzüge für Widerhandlungen im Ausland gelte das Kaskadensystem der Artikel 16b und 16c SVG, danach komme bei einem Rückfall eine höhere (bei Auslandtaten aber unterschreitbare) Mindestentzugsdauer zur Anwendung, und zwar unabhängig davon, ob die erste die zweite oder beide Widerhandlungen im Ausland begangen worden seien. Vorliegend komme die Kaskadenbestimmung nach Art. 16c Abs. 2 lit. b SVG zur Anwendung. Die geltend gemachte Betroffenheit sei privater Natur und nicht in einem solchen Mass ausgeprägt, wie z.B. bei einer beruflichen Angewiesenheit, weshalb eine Entzugsdauer von fünf Monaten als angemessen erscheine. c) Somit ergibt sich, dass die Vorinstanz die angefochtene Verfügung einlässlich und nachvollziehbar begründete. Der Rekurrent wurde in die Lage versetzt, die Tragweite der Verfügung zu erfassen und diese in voller Kenntnis der Umstände an die VRK weiterzuziehen. Es war für den Rekurrenten insbesondere ersichtlich, von welchen Überlegungen die Vorinstanz sich leiten liess. Eine Verletzung des rechtlichen Gehörs liegt demnach nicht vor.</w:t>
      </w:r>
    </w:p>
    <w:p>
      <w:r>
        <w:rPr>
          <w:b/>
        </w:rPr>
        <w:t>E. 4</w:t>
      </w:r>
    </w:p>
    <w:p>
      <w:r>
        <w:t>Begeht eine Person mit schweizerischem Wohnsitz im Ausland ein Strassenverkehrsdelikt, kann der Tatortstaat eine Administrativmassnahme allein mit Wirkung für das eigene Staatsgebiet aussprechen. Den schweizerischen Führerausweis als solchen kann er nicht entziehen. Die Wirkung der im Ausland verfügten Administrativmassnahme ist daher beschränkt. Deshalb sieht Art. 16c bis SVG unter den erwähnten Voraussetzungen den Entzug des schweizerischen Führerausweises durch die hiesige Behörde vor. Das darf jedoch nicht zu einer doppelten Sanktionierung führen. Die im Ausland und in der Schweiz ausgesprochenen Massnahmen müssen in ihrer Gesamtheit schuldangemessen sein. Daher sind gemäss Art. 16c bis Abs. 2 Satz 1 SVG bei der Festlegung der Entzugsdauer die Auswirkungen des ausländischen Fahrverbots auf die betroffene Person angemessen zu berücksichtigen. Damit wird dem Umstand Rechnung getragen,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die Umstände des Einzelfalles. Gegebenenfalls kann sich das Unterschreiten der Mindestentzugsdauer rechtfertigen, was Art. 16c bis Abs. 2 Satz 2 SVG ausdrücklich zulässt (BGE 141 II 256 E. 2.3). Bei Personen, zu denen im Informationssystem über die Verkehrszulassung keine Daten zu Administrativmassnahmen gemäss Art. 89c lit. d enthalten sind, darf die Entzugsdauer das am Begehungsort verfügte Fahrverbot nicht überschreiten (Art. 16c bis Abs. 2 SVG; BGer 1C_47/2012 vom 17. April 2012 E. 2.2). Handelt es sich demgegenüber um Rückfalltäter, kann die Schweizer Behörde über die Dauer des am Begehungsort verfügten Fahrverbots hinausgehen (BGE 141 II 256 E. 2.4). Gesamthaft darf der angeordnete Entzug mit der ausländischen Massnahme zusammen nicht strenger erscheinen als der Entzug, der ausgesprochen worden wäre, wenn die Anlasstat in der Schweiz begangen worden wäre (Botschaft zur Änderung des Strassenverkehrsgesetzes [Führerausweisentzug nach Widerhandlung im Ausland], BBl 2007 S. 7622; Th. Scherrer, Administrativrechtliche Folgen von "Auslandtaten", in: R. Schaffhauser, Jahrbuch zum Strassenverkehrsrecht 2003, S. 252). Art. 16c bis Abs. 2 SVG enthält demnach verschiedene Vorgaben, wie die Entzugsdauer nach einer Auslandtat zu bemessen ist. So sind die Auswirkungen des ausländischen Fahrverbots auf die betroffene Person angemessen zu berücksichtigen und die Mindestentzugsdauer (gemäss Art. 16b Abs. 2 und Art. 16c Abs. 2 SVG) darf unterschritten werden. Schliesslich darf die Entzugsdauer bei Personen, zu denen im Informationssystem über die Verkehrszulassung keine Daten zu Administrativmassnahmen (Art. 89c lit. d SVG) enthalten sind, die am Begehungsort im Ausland verfügte Dauer des Fahrverbots nicht überschreiten (nachfolgend E. 4a). a) Aus Art. 16c bis Abs. 2 SVG ergibt sich, dass bei der Bemessung der Entzugsdauer grundsätzlich von den Sanktionsdrohungen gemäss Art. 16b Abs. 2 und Art. 16c Abs. 2 SVG auszugehen ist. Dies gilt nur dann nicht, wenn die am Begehungsort im Ausland verfügte Dauer des Fahrverbots – im vorliegenden Fall zwei Wochen – nicht überschritten werden darf, und zwar, weil zu der betroffenen Person im IVZ keine Daten zu Administrativmassnahmen enthalten sind. Der Rekurrent ist mit einem Führerausweisentzug (Führerausweis der Spezialkategorie M) nach einer mittelschweren Widerhandlung im IVZ eingetragen, weshalb für ihn eine Begrenzung des oberen Sanktionsrahmens auf der Höhe des im Ausland ausgesprochenen Fahrverbots von zwei Wochen nicht in Frage zu kommen scheint. Die Entstehungsgeschichte der Norm und deren Sinn und Zweck lassen sich jedoch mit dem Wortlaut nicht in Einklang bringen (vgl. VRKE IV-2017/2 vom 29. Juni 2017 E. 4.a). In der bundesrätlichen Botschaft zur Änderung des Strassenverkehrsgesetzes (Führerausweisentzug nach Widerhandlung im Ausland) war in E-Art. 16c bis Abs. 2 SVG nur vorgesehen, dass bei der Festlegung der Entzugsdauer die Auswirkungen des ausländischen Fahrverbots auf die betroffene Person angemessen zu berücksichtigen seien und die Mindestentzugsdauer unterschritten werden dürfe (BBl 2007 7617 ff. und 7625). Während der parlamentarischen Beratung wurde ein Antrag gestellt, wonach die Entzugsdauer die am Begehungsort verfügte Dauer des Fahrverbots nicht überschreiten dürfe. Der Antragsteller hielt dafür, dass das Kaskadensystem gemäss Art. 16b Abs. 2 und Art. 16c Abs. 2 SVG nach einer Auslandtat nicht zur Anwendung gelangen solle (z.B. Amtl. Bull. NR, Frühjahrssession 2008, Dreizehnte Sitzung, 19.03.08, 08h20, 07.079 [Votum Müller]). Dieser Antrag wurde schliesslich nicht Gesetz und die Räte einigten sich auf einen Kompromiss. Es wurde entschieden, dass die Dauer des ausländischen Fahrverbots nur bei Ersttätern, also bei Personen, die im IVZ (früher: Administrativmassnahmen-Register) nicht verzeichnet sind, die Obergrenze für die Entzugsdauer in der Schweiz bilde. So werde verhindert, dass Wiederholungstäter wie Ersttäter behandelt werden und Wiederholungstäter, die im Ausland zum Beispiel die Geschwindigkeitsvorschriften krass missachten, gegenüber Wiederholungstätern in der Schweiz privilegiert behandelt werden (Amtl. Bull. SR, Frühjahrssession 2008, Zehnte Sitzung, 18.03.08, 08h15, 07.079 [Votum Bieri]). Mit der Gesetz gewordenen Fassung wollte der Gesetzgeber eine faktische Aushebelung des in der Schweiz geltenden Kaskadensystems verhindern. Das Kaskadensystem gemäss Art. 16b Abs. 2 und Art. 16c Abs. 2 SVG kommt dann zur Anwendung, wenn der betroffene Fahrzeuglenker wiederum eine mittelschwere oder schwere Widerhandlung begeht und die im Gesetz vorgesehenen Rückfallfristen, welche zwischen 2 und 10 Jahren dauern und nach dem Vollzug des Führerausweisentzugs beginnen, noch nicht abgelaufen sind. Zu berücksichtigen ist indessen, dass der Rekurrent im Zeitpunkt des Entzugs des Führerausweises der Spezialkategorie M (Motorfahrräder; Art 3 Abs. 3 der Verkehrszulassungsverordnung (SR 741.51, abgekürzt: VZV) 16 Jahre alt war und deshalb gar nicht im Besitz eines Führerausweises der Kategorien B oder A sein konnte. Damit war auch eine Ausdehnung auf diese beiden Kategorien gemäss Art. 33 Abs. 4 lit. b VZV nicht möglich. Nach dieser Bestimmung kann die Entzugsbehörde mit dem Lernfahr- oder dem Führerausweis einer Spezialkategorie auch den Lernfahr- oder Führerausweis der Kategorien und Unterkategorien entziehen. Beim Entscheid darüber hat die Behörde abzuwägen, ob sich eine Ausdehnung angesichts der Schwere und der Art der begangenen Widerhandlung rechtfertigt. Dabei hat sie sämtliche Umstände des Einzelfalles zu berücksichtigen (vgl. zum früheren Recht BGE 114 Ib 41 E. 3 [Praxis 77 (1988) Nr. 80]). Gemäss früherer bundesgerichtlicher Rechtsprechung konnte die Anordnung eines Motorfahrradausweisentzugs ohne Ausdehnung auf einen ordentlichen Führerausweis nicht zu einem Rückfall führen (vgl. BGE 128 II 187 E. 1c am Schluss). Es ist nicht ersichtlich, weshalb diese Praxis nicht auch für das seit 1. Januar 2005 geltende Administrativmassnahmenrecht gelten soll, was dazu führt, dass das Kaskadensystem gemäss Art. 16b Abs. 2 und Art. 16c Abs. 2 hier nicht zur Anwendung gelangt. Vor diesem Hintergrund ist die Gesetzesredaktion, wonach der Führerausweisentzug in der Schweiz nur für Personen, zu denen im IVZ keine Daten zu Administrativmassnahmen enthalten sind, nicht länger als die Dauer des ausländischen Fahrverbots ausfallen darf, ungenau. Letztlich kann es nur darum gehen, dass die betroffene Person nicht mit einer Administrativmassnahme wegen mittelschwerer oder schwerer Widerhandlung eingetragen oder eine entsprechende Rückfallfrist abgelaufen ist oder die betroffene Person nicht wegen eines Führerausweisentzugs in der Spezialkategorie M (Motorfahrräder) mit einer Ausdehnung auf eine Kategorie oder Unterkategorie eingetragen ist. Bei diesen Fällen kann nicht von einem Rückfall im Sinn des Kaskadensystems ausgegangen werden, weshalb die Dauer des Führerausweisentzugs nicht über die Dauer des ausländischen Fahrverbots hinausgehen soll. Es verhält sich damit nicht anders wie bei einer neuerlichen schweren Widerhandlung gegen die Verkehrsregeln in der Schweiz, wenn zwar bereits früher Strassenverkehrsvorschriften missachtet wurden, dieser frühere Verstoss jedoch lediglich zum Entzug des Führerausweises für Motorfahrräder führte (da die betroffene Person entweder aus Altersgründen oder freiem Entschluss nur einen Führerausweis für Motorfahrräder besass, und sich die Frage der Ausdehnung des Entzugs auf einen ordentlichen Führerausweis gar nicht stellte); hier kommt das Kaskadensystem ebenfalls nicht zur Anwendung und eine "unhaltbare Privilegierung" des Rückfalltäters mit einer Widerhandlung im Ausland gegenüber einem Rückfalltäter mit einer Inlandtat kann ausgeschlossen werden. Bei einem Ersttäter darf die schweizerische Behörde keine strengere Wertung vornehmen als die ausländische. Dass sie gegebenenfalls nach hiesigen Massstäben ein längeres Fahrverbot als gerechtfertigt angesehen hätte, spielt keine Rolle. Die Dauer des am Begehungsort ausgesprochenen Fahrverbots begrenzt den Ermessensspielraum der schweizerischen Behörde nach oben (vgl. BGer 1C_538/2014 vom 9. Juni 2015 E. 2.4). Schliesslich kann anderen Einträgen wie etwa einer Verwarnung (Art. 89c lit. d Ziffer 7 SVG), die die Kaskaden gemäss Art. 16b Abs. 2 und 16c Abs. 2 SVG nicht auszulösen vermag, verkehrspsychologischen und verkehrsmedizinischen Untersuchungen (Ziffer 8) oder einer Teilnahme an Nachschulung (Ziffer 10) keine Bedeutung zukommen mit Bezug auf die Begrenzung der Entzugsdauer auf die Höhe der Dauer des ausländischen Fahrverbots, weshalb der generelle Verweis in Art. 16c bis Abs. 2 SVG auf Art. 89c lit. d SVG auch deshalb an der Sache vorbeigeht. Der Rekurrent weist im IVZ zwar einen Eintrag wegen mittelschwerer Widerhandlung auf, diese betrifft jedoch einen Entzug des Ausweises der Spezialkategorie M. Mithin kommt für ihn das Kaskadensystem nicht zur Anwendung. Entsprechend darf der schweizerische Führerausweisentzug die Dauer des österreichischen Fahrverbots von zwei Wochen nicht überschreiten. An diesem Zwischenergebnis ändert auch das Bestehen einer Rasernorm mit einer Mindestentzugsdauer von zwei Jahren nichts. Es gibt keine Hinweise, dass für Auslandtaten in diesem Bereich Art. 16c bis SVG nicht gilt. Der Gesetzgeber hat sich dazu, soweit überblickbar, jedenfalls nicht geäussert. Dass der Rekurrent wesentlich milder zu sanktionieren ist, hängt damit zusammen, dass krasse Geschwindigkeitsüberschreitungen in Österreich viel weniger streng sanktioniert werden als in der Schweiz, und ist hinzunehmen (BGE 141 II 256 E. 2.6). b) Zusammenfassend ist Ziffer 1 der angefochtenen Verfügung aufzuheben und der Führerausweis für zwei Wochen zu entziehen. Dass eine Entzugsdauer von zwei Wochen als angemessen erscheint, ändert nichts daran, dass der Rekurrent fortan mit einer schweren Widerhandlung gemäss Art. 16c Abs. 2 lit. a bis SVG im IVZ verzeichnet ist. Insbesondere beginnen auch die Rückfallfristen gemäss Art 16b Abs. 2 und Art. 16c Abs. 2 SVG für allfällige weitere mittelschwere oder schwere Widerhandlungen zu laufen. Sollte der Rekurrent etwa in den nächsten fünf Jahren gar noch einmal gegen die Raserstrafnorm verstossen, gälte er als unverbesserlich und der Führerausweis würde für immer entzogen (Art. 16d Abs. 3 lit. b SVG). Ein solcher Führerausweisentzug könnte frühestens nach fünf Jahren und nur dann aufgehoben werden, wenn der Betroffene glaubhaft macht, dass die Massnahme nicht mehr erforderlich ist (Philippe Weissenberger, Kommentar SVG und OBG, 2. Aufl. 2015, Art. 16d N 49). c) Nicht angefochten wurde die Verlängerung der Probezeit des Führerausweises um ein Jahr, weshalb nach Ablauf der Entzugsdauer durch die Vorinstanz ein neuer Führerausweis auf Probe zuzustellen ist.</w:t>
      </w:r>
    </w:p>
    <w:p>
      <w:r>
        <w:rPr>
          <w:b/>
        </w:rPr>
        <w:t>E. 5</w:t>
      </w:r>
    </w:p>
    <w:p>
      <w:r>
        <w:t>Der Staat (Strassenverkehrsamt) hat den Rekurrenten ausseramtlich mit Fr. 1'848.15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