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IV-2020/51 vom 17. Dezember 2020</w:t>
      </w:r>
    </w:p>
    <w:p>
      <w:r>
        <w:t>Sg Verwaltungsrekurskommission, 2020-12-17, DE</w:t>
      </w:r>
    </w:p>
    <w:p>
      <w:r>
        <w:rPr>
          <w:b/>
        </w:rPr>
        <w:t xml:space="preserve">Quelle: </w:t>
      </w:r>
      <w:r>
        <w:t>https://mcp.opencaselaw.ch/entscheid/sg_publikationen_IV-2020_51</w:t>
      </w:r>
    </w:p>
    <w:p>
      <w:r>
        <w:t>FR: SG_VERWALTUNGSREKURSKOMMISSION IV-2020/51 du 17 décembre 2020</w:t>
      </w:r>
    </w:p>
    <w:p>
      <w:r>
        <w:t>IT: SG_VERWALTUNGSREKURSKOMMISSION IV-2020/51 del 17 dicembre 2020</w:t>
      </w:r>
    </w:p>
    <w:p>
      <w:pPr>
        <w:pStyle w:val="Heading2"/>
      </w:pPr>
      <w:r>
        <w:t>Regeste</w:t>
      </w:r>
    </w:p>
    <w:p>
      <w:r>
        <w:t>Art. 14 Abs. 2 lit. c, Art. 15d Abs. 1, Art. 16 Abs. 1 SVG (SR 741.01). Die Rekurrentin und ihr Lebenspartner gaben wiederholt Anlass zu polizeilichen Interventionen. Sie wurden dabei jeweils stark alkoholisiert angetroffen und verweigerten Atemalkoholmessungen. Auch wenn die Vorfälle nicht im Zusammenhang mit der Teilnahme am Strassenverkehr standen, ist die Häufigkeit des Beizugs der Polizei auffällig. Im Februar 2020 schien sie derart alkoholisiert, dass sie dem Amtsarzt vorgeführt wurde. Die Polizei geht von einer Alkoholproblematik aus, weshalb sie dem Strassenverkehrsamt Bericht erstattete. Die Voraussetzungen für die Anordnung einer verkehrsmedizinischen Untersuchung sind erfüllt, weshalb der Rekurs abzuweisen ist (Verwaltungsrekurskommission, Abteilung IV, 20. August 2020, IV-2020/51).</w:t>
      </w:r>
    </w:p>
    <w:p>
      <w:pPr>
        <w:pStyle w:val="Heading2"/>
      </w:pPr>
      <w:r>
        <w:t>Erwägungen</w:t>
      </w:r>
    </w:p>
    <w:p>
      <w:r>
        <w:rPr>
          <w:b/>
        </w:rPr>
        <w:t>E. 1</w:t>
      </w:r>
    </w:p>
    <w:p>
      <w:r>
        <w:t>Die Eintretensvoraussetzungen sind von Amtes wegen zu prüfen. Die VRK ist zum Sachentscheid zuständig. Die Befugnis zur Rekurserhebung ist gegeben. Der Rekurs vom 17. April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Voraussetzungen für eine verkehrsmedizinische Untersuchung gegeben sind. a) Anlass für die Anordnung der verkehrsmedizinischen Untersuchung war der Polizeirapport vom 7. März 2020, wonach die Rekurrentin in den vergangenen Jahren bei polizeilichen Interventionen wiederholt alkoholisiert angetroffen worden sei. Gestützt darauf bestand bei der Vorinstanz der Verdacht, dass die Rekurrentin ein schwerwiegendes Alkoholproblem haben könnte; deshalb würden Zweifel an ihrer Fahreignung bestehen. b) Die Rekurrentin hält dem entgegen, dass weder konkrete Anhaltspunkte für eine Alkoholabhängigkeit noch ein Konnex zwischen den Informationen ausserhalb des Strassenverkehrs und der Anordnung der verkehrsmedizinischen Untersuchung vorliegen würden. Die Annahme der Vorinstanz, wonach ein schwerwiegendes Alkoholproblem vorliegen könnte, beruhe einzig auf dem Amtsstellenbericht der Kantonspolizei. Die Vorinstanz selbst habe keine weiteren Abklärungen vorgenommen. Beim Einsatz der Polizei vom 25. Februar 2020 sei keine Atemalkoholmessung durchgeführt worden. Bei der Einschätzung, die Rekurrentin sei "deutlich bzw. sehr stark" alkoholisiert, handle es sich um eine subjektive Wahrnehmung der Polizisten. Es würden keine objektiven Beweise vorliegen, wonach die Rekurrentin regelmässig alkoholisiert sein solle. Über die früheren Vorfälle würden keine Berichte vorliegen, es habe sich nur um wenige Vorfälle gehandelt und die gemessenen Alkoholwerte hätten deutlich unter 2,5 Gewichtspromille gelegen, welche gemäss Bundesgericht als Schwelle für die Annahme einer Alkoholabhängigkeit gelte. Ein dreimaliger Alkoholkonsum innerhalb eines Jahres stelle keinen Beweis für eine Alkoholabhängigkeit dar. Zudem seien alle Vorfälle ausserhalb des Strassenverkehrs erfolgt. Die Rekurrentin verfüge über einen ungetrübten automobilistischen Leumund bezüglich Fahrens in angetrunkenem Zustand. Sie habe jahrelange Fahrpraxis und sei noch nie unter Alkoholeinfluss gefahren. Dass bei der Rekurrentin trotz eher tiefen Alkoholisierungen Ausfallerscheinungen ersichtlich gewesen seien, spreche zudem gegen eine Alkoholgewöhnung. c) Motorfahrzeugführer müssen nach Art. 14 Abs. 1 des Strassenverkehrsgesetzes (SR 741.01, abgekürzt: SVG) über Fahreignung und Fahrkompetenz verfügen. Fahreignung setzt unter anderem voraus, dass der Lenker frei von einer Sucht ist, die das sichere Führen von Motorfahrzeugen beeinträchtigt (Art. 14 Abs. 2 lit. c SVG). Ausweise und Bewilligungen sind zu entziehen, wenn festgestellt wird, dass die gesetzlichen Voraussetzungen zur Erteilung nicht oder nicht mehr bestehen (Art. 16 Abs. 1 SVG). Art. 16d SVG regelt den Führerausweisentzug wegen fehlender Fahreignung. Danach wird einer Person der Führerausweis unter anderem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N 3). Gemäss Art. 15d Abs. 1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BAK von 1,6 Gewichtspromille oder mehr oder mit einer Atemalkoholkonzentration von 0,8 mg Alkohol oder mehr pro Liter Atemluft (lit. a; in Kraft seit 1. Juli 2014),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Die Anordnung einer verkehrsmedizinischen Untersuchung setzt also nicht zwingend voraus, dass der Fahrzeugführer tatsächlich unter dem Einfluss von Alkohol oder Betäubungsmitteln gefahren ist (vgl. BGer 1C_111/2015 vom 21. Mai 2015 E. 4.6, 1C_328/2013 vom 18. September 2013 E. 3.2, 1C_445/2012 vom 26. April 2013 E. 3.2). Bei einem regelmässigen, nach den gesetzlichen Grenzwerten als übermässig geltenden Alkoholkonsum ist davon auszugehen, dass der Konsument kaum je in der Lage ist, ausreichend zwischen dem Suchtmittelkonsum und dem Strassenverkehr zu trennen (Weissenberger, a.a.O., Art. 16d N 30). Die Dunkelziffer von Trunkenheitsfahrten ist sehr hoch. Es ist anzunehmen, dass von 400 bis 600 Trunkenheitsfahrten nur eine entdeckt wird (Bächli-Biétry, Zuverlässigkeit der Legalbewährungsprognose verkehrspsychologischer Gutachten, in: Schaffhauser [Hrsg.], Jahrbuch zum Strassenverkehrsrecht 2011, Bern 2011, S. 8). Nach der bundesgerichtlichen Rechtsprechung sind die Anforderungen an die Anordnung einer Fahreignungsuntersuchung nicht dieselben wie für den vorsorglichen Führerausweisentzug. Während für den vorsorglichen Führerausweisentzug ernsthafte Zweifel an der Fahreignung vorausgesetzt sind, genügen für die Fahreignungsuntersuchung hinreichende Anhaltspunkte (BGer 1C_384/2017 vom 7. März 2018 E. 2.2). Die Polizei ist verpflichtet, das Strassenverkehrsamt zu benachrichtigen, wenn sie von Tatsachen – wie beispielsweise von schwerer Krankheit oder Süchten – Kenntnis erhält, die zur Verweigerung oder zum Entzug des Ausweises führen können (Art. 104 Abs. 1 SVG in Verbindung mit Art. 123 Abs. 3 der Verkehrszulassungsverordnung, SR 741.51, abgekürzt: VZV). d) Zu den Ausführungen der Rekurrentin ist vorab zu bemerken, dass die bundesgerichtliche Rechtsprechung, wonach ein Verdacht auf eine Alkoholsucht ab einer Blutalkoholkonzentration von 2,5 Gewichtspromille gegeben war, mit dem Inkrafttreten von Art. 15d Abs. 1 lit. a SVG per 1. Juli 2014 obsolet wurde und somit nicht mehr anwendbar ist. Seither ist – gestützt auf neuere wissenschaftliche Erkenntnisse – wie bereits ausgeführt, die Anordnung einer verkehrsmedizinischen Untersuchung bei Fahren in angetrunkenem Zustand bereits ab einer Blutalkoholkonzentration von 1,6 Gewichtspromille oder einer Atemalkoholkonzentration von 0,8 mg/l zwingend. Sodann ist für die Anordnung einer verkehrsmedizinischen Untersuchung kein Beweis für eine fehlende Fahreignung erforderlich. Es genügen dafür Zweifel an der Fahreignung und ist gerade Sinn und Zweck der verkehrsmedizinischen Untersuchung, Verdachtsgründe näher abzuklären und damit eine Entscheidgrundlage für allfällige Massnahmen zu erhalten, die in einem zweiten Schritt zu verfügen wären. Die Ausführungen der Rekurrentin, dass kein Beweis vorliege, laufen somit ins Leere. Vorliegend stellt sich die Frage, ob hinreichende Anhaltspunkte für die Anordnung einer verkehrsmedizinischen Untersuchung gegeben sind. Die durch die Vorinstanz angeordnete Untersuchung stützt sich lediglich auf den Amtsstellenbericht der Kantonspolizei vom 25. Februar 2020. Daraus geht hervor, dass die Polizei in den vergangenen Jahren wiederholt an den Wohnort der Rekurrentin ausrücken musste. Diese war teilweise stark alkoholisiert. Mehrmals verweigerte sie eine Atemalkoholmessung. Zu berücksichtigen ist, dass die gemessenen Alkoholwerte (0,78 mg/l am 31. Oktober 2019; 0,2 mg/l am 20. Januar 2019; 1,15 mg/l am 16. Juli 2018 und 0,97 Gewichtspromille am 4. Juli 2015) die Schwelle von Art. 15d Abs. 1 lit. a SVG nur einmal deutlich überschritten. Sodann waren die Vorfälle meistens abends und standen nicht im Zusammenhang mit dem Strassenverkehr. Zudem ist wenig über die Umstände der polizeilichen Interventionen bekannt. Der automobilistische Leumund ist bisher, was Fahren unter Alkoholeinfluss betrifft, ungetrübt. Jedenfalls ist die Rekurrentin nicht nachweislich unter Alkoholeinfluss gefahren. Auf der anderen Seite aber ist die Häufigkeit des Beizugs der Polizei auffällig. Offenbar kam es jeweils im Zusammenhang mit dem Alkoholkonsum zu Konflikten, Lärmstörungen oder Gefährdungen, die dazu führten, dass die Polizei gerufen wurde. Die Rekurrentin verweigerte die Atemalkoholmessungen wiederholt, weshalb nicht festgestellt werden konnte, wie hoch die Alkoholisierungen in jenen Fällen waren. Am 25. Februar 2020 erschien sie als derart stark alkoholisiert, dass die Polizisten – die solche Situationen aufgrund ihrer beruflichen Tätigkeit in der Regel einschätzen können – es für notwendig hielten, die Rekurrentin dem Amtsarzt vorzuführen. Offenbar gingen sie von einem selbstgefährdenden Zustand aus. Sodann erklärte der Lebenspartner der Rekurrentin gegenüber der Polizei, dass sie täglich eine Flasche Schnaps konsumiere. Die Polizei nimmt gemäss ihrem Bericht an, dass bei der Rekurrentin eine Alkoholproblematik vorliege. Im Rahmen ihrer Meldepflicht sah sie sich schliesslich nach zehn Vorfällen innerhalb von knapp fünf Jahren veranlasst, dem Strassenverkehrsamt eine Meldung zu erstatten. Insgesamt liegen damit hinreichende Anhaltspunkte für eine Alkoholproblematik vor. Unverhältnismässig wäre es, für die Veranlassung einer verkehrsmedizinischen Untersuchung weiter abzuwarten, bis es tatsächlich zu einem Vorfall im Zusammenhang mit dem Strassenverkehr kommt. Das Interesse der Rekurrentin daran, dass keine Fahreignungsuntersuchung durchgeführt wird, ist gegen das öffentliche Interesse an der Sicherheit der anderen Verkehrsteilnehmer abzuwägen. Kommt der Gutachter in der verkehrsmedizinischen Untersuchung zum Schluss, dass keine verkehrsrelevante Alkoholproblematik vorliegt, so hat die Rekurrentin keinen Sicherungsentzug des Fahrausweises zu befürchten. Der Eingriff wäre folglich relativ gering. Wird aber das Vorliegen einer verkehrsrelevanten Alkoholproblematik bestätigt, so sind die anderen Verkehrsteilnehmer gefährdet und müssen geschützt werden. Das öffentliche Interesse an der Sicherheit der anderen Verkehrsteilnehmer ist somit deutlich höher zu gewichten als das private Interesse der Rekurrentin daran, keiner verkehrsmedizinischen Untersuchung unterzogen zu werden. Die Anordnung der verkehrsmedizinischen Untersuchung durch die Vorinstanz erscheint damit als verhältnismässig. e) Zusammenfassend ergibt sich, dass hinreichende Anhaltspunkte dafür vorliegen, dass bei der Rekurrentin eine verkehrsrelevante Alkoholproblematik gegeben sein könnte. Die Vorinstanz hat somit zu Recht eine verkehrsmedizinische Untersuchung angeordnet. Der Rekurs ist abzuweisen.</w:t>
      </w:r>
    </w:p>
    <w:p>
      <w:r>
        <w:rPr>
          <w:b/>
        </w:rPr>
        <w:t>E. 3</w:t>
      </w:r>
    </w:p>
    <w:p>
      <w:r>
        <w:t>Dem Verfahrensausgang entsprechend sind die amtlichen Kosten der Rekurrentin aufzuerlegen (Art. 95 Abs. 1 VRP). Eine Entscheidgebühr von Fr. 1'200.– erscheint angemessen (vgl. Art. 7 Ziff. 122 der Gerichtskostenverordnung, sGS 941.12). Der Kostenvorschuss von Fr. 1'200.– ist damit zu verrechnen. Bei diesem Verfahrensausgang besteht kein Anspruch auf Entschädigung der ausseramtlichen Kosten (Art. 98 bis VRP). Entscheid: 1.  Der Rekurs wird abgewiesen. 2.  Die Rekurrentin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