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IV-2018/81 vom 20. November 2018</w:t>
      </w:r>
    </w:p>
    <w:p>
      <w:r>
        <w:t>Sg Verwaltungsrekurskommission, 2018-11-20, DE</w:t>
      </w:r>
    </w:p>
    <w:p>
      <w:r>
        <w:rPr>
          <w:b/>
        </w:rPr>
        <w:t xml:space="preserve">Quelle: </w:t>
      </w:r>
      <w:r>
        <w:t>https://mcp.opencaselaw.ch/entscheid/sg_publikationen_IV-2018_81</w:t>
      </w:r>
    </w:p>
    <w:p>
      <w:r>
        <w:t>FR: SG_VERWALTUNGSREKURSKOMMISSION IV-2018/81 du 20 novembre 2018</w:t>
      </w:r>
    </w:p>
    <w:p>
      <w:r>
        <w:t>IT: SG_VERWALTUNGSREKURSKOMMISSION IV-2018/81 del 20 novembre 2018</w:t>
      </w:r>
    </w:p>
    <w:p>
      <w:pPr>
        <w:pStyle w:val="Heading2"/>
      </w:pPr>
      <w:r>
        <w:t>Regeste</w:t>
      </w:r>
    </w:p>
    <w:p>
      <w:r>
        <w:t>Art. 16a Abs. 1 lit. a und Abs. 2 SVG (SR 741.01), Art. 4a Abs. 1 lit. b VRV (SR 741.11). War der Führerausweis in den vorangegangenen zwei Jahren entzogen, wird der Führerausweis für mindestens einen Monat entzogen. Bei der zweijährigen Frist handelt es sich um eine Rückfall- oder Bewährungsfrist. Bewähren kann sich im Strassenverkehr nur, wer im Besitz des Führerausweises und damit fahrberechtigt ist. Dementsprechend beginnt die zweijährige Frist erst dann zu laufen, wenn die Dauer des letzten Führerausweisentzugs abgelaufen ist (Verwaltungsrekurskommission, Abteilung IV, 27. September 2018, IV-2018/81).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Mai 2018 wurde rechtzeitig eingereicht; er erfüllt in formeller und materieller Hinsicht die Anforderungen von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a) Im Strafverfahren wurde der Rekurrent wegen Überschreitens der Höchstgeschwindigkeit wegen einfacher Verkehrsregelverletzung schuldig gesprochen (Art. 90 Abs. 1 SVG, Art. 4a Abs. 1 lit. b der Verkehrsregelnverordnung [SR 741.11, abgekürzt: VRV], act. 9/25). Die einfache Verkehrsregelverletzung gemäss Art. 90 Abs. 1 SVG umfasst administrativrechtlich die leichte (Art. 16a Abs. 1 lit. a SVG) und die mittelschwere Widerhandlung gegen die Strassenverkehrsvorschriften (Art. 16b Abs. 1 lit. a SVG). Das straf- und das administrativrechtliche Sanktionensystem sind insoweit nicht deckungsgleich (Urteile des Bundesgerichts [BGer] 1C_259/2011 vom 27. September 2011 E. 3.4 und 1C_282/2011 vom 27. September 2011 E. 2.4). Aus Gründen der Rechtsgleichheit hat das Bundesgericht für die Beurteilung von Geschwindigkeitsüberschreitungen präzise Regeln aufgestellt. Unabhängig von den konkreten Umständen liegt ein objektiv leichter Fall etwa dann vor, wenn die Geschwindigkeit ausserorts um 21 bis 25 km/h überschritten wird (Ph. Weissenberger, Kommentar SVG und OBG, 2. Aufl. 2015, Vorbemerkungen zu Art. 16a bis c N 14 und Art. 16a N 21). Die Geschwindigkeitsüberschreitung des Rekurrenten ausserorts um 23 km/h stellt demnach in objektiver Hinsicht eine leichte Widerhandlung im Sinn von Art. 16a Abs. 1 lit. a SVG dar. b) Der Rekurrent wies darauf hin, dass der Tacho beim Überholen eine Geschwindigkeit von 98 km/h angezeigt habe und dies vom Polizisten bestätigt worden sei. aa)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(BGer 1C_169/2014 vom 18. Februar 2015 E. 2.2). bb) In den Akten gibt es nicht den geringsten Hinweis dafür, dass die Geschwindigkeitsmessung vom 16. März 2017 falsch gewesen sein könnte. Es gibt folglich keinen Grund, von den tatsächlichen Feststellungen im Strafverfahren abzuweichen. Abgesehen davon hätte der Rekurrent Einwände gegen die Korrektheit der Geschwindigkeitsmessung im Strafverfahren vorbringen müssen. Gemäss bundesgerichtlicher Rechtsprechung besteht kein Anspruch darauf, den bereits im Strafverfahren erstellten Sachverhalt im Administrativmassnahmeverfahren nochmals zu überprüfen, wenn mögliche Vorbringen verpasst wurden (BGer 6A.32/2002 vom 21. Juni 2002 E. 2.1 und 1C_266/2014 vom 17. Februar 2015 E. 2). cc) Folglich bleibt es dabei, dass der Rekurrent die zulässige Höchstgeschwindigkeit ausserorts von 80 km/h um 23 km/h überschritten hat. Hierbei handelt es sich um eine leichte Widerhandlung gemäss Art. 16a Abs. 1 lit. a SVG.</w:t>
      </w:r>
    </w:p>
    <w:p>
      <w:r>
        <w:rPr>
          <w:b/>
        </w:rPr>
        <w:t>E. 3</w:t>
      </w:r>
    </w:p>
    <w:p>
      <w:r>
        <w:t>Zu prüfen bleibt, ob die Vorinstanz zu Recht einen Führerausweisentzug ausgesprochen hat. Der Rekurrent macht geltend, dass der letzte Führerausweisentzug mehr als zwei Jahre zurückliege, weshalb nur eine Verwarnung ausgesprochen werden könne. a) Nach einer leichten Widerhandlung wird der Lernfahr- oder Führerausweis für mindestens einen Monat entzogen, wenn in den vorangegangenen zwei Jahren der Ausweis entzogen war oder eine andere Administrativmassnahme verfügt wurde (Art. 16a Abs. 2 SVG); andernfalls wird sie verwarnt (Art. 16a Abs. 3 SVG). Bei der zweijährigen Frist gemäss Art. 16a Abs. 2 und 3 SVG handelt es sich um eine Rückfall- oder Bewährungsfrist. Bewähren kann sich im Strassenverkehr nur, wer im Besitz des Führerausweises und damit fahrberechtigt ist. Dementsprechend beginnt die zweijährige Frist erst dann zu laufen, wenn die Dauer des (letzten) Führerausweisentzugs abgelaufen ist (BGer 1C_520/2016 vom 16. Februar 2017 E. 4.3 und 1C_180/2010 vom 22. September 2010 E. 2). Anders sieht es aus, wenn der betroffene Fahrzeuglenker früher verwarnt wurde. In diesem Fall beginnt die Bewährungsfrist mit der Eröffnung der Verwarnung (BSK SVG-Rütsche/Weber, Basel 2014, Art. 16a N 20). b) Die Vorinstanz entzog dem Rekurrenten den Führerausweis mit Verfügung vom 16. Februar 2015 für einen Monat. Einen dagegen erhobenen Rekurs wies die Verwaltungsrekurskommission mit Entscheid IV-2015/42 vom 28. Mai 2015 ab. Vollzogen wurde die Massnahme vom 19. Juni bis 18. Juli 2015 (act. 9/18). Dies bedeutet, dass die zweijährige Bewährungsfrist gemäss Art. 16a Abs. 2 und 3 SVG am 19. Juli 2015 begann und am 18. Juli 2017 endete. Im Zeitpunkt des Ereignisses vom 16. März 2017 waren demnach noch nicht zwei Jahre vergangen seit dem letzten Führerausweisentzug. Eine Verwarnung kommt unter diesen Umständen nicht in Betracht, vielmehr hat die Vorinstanz gestützt auf Art. 16a Abs. 2 SVG zu Recht einen Warnungsentzug ausgesprochen.</w:t>
      </w:r>
    </w:p>
    <w:p>
      <w:r>
        <w:rPr>
          <w:b/>
        </w:rPr>
        <w:t>E. 4</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Eine Unterschreitung der gesetzlichen Mindestentzugsdauern ist nach dem Willen des Gesetzgebers und der Rechtsprechung selbst dann ausgeschlossen, wenn der Lenker aus beruflichen Gründen auf den Führerausweis angewiesen ist (BGE 135 II 334 E. 2.2, BGer 1C_575/2017 vom 3. April 2018 E. 3.3). Die Mindestentzugsdauer beträgt gemäss Art. 16a Abs. 2 SVG einen Monat. Bei der vorinstanzlich festgelegten Entzugsdauer eines Monats handelt es sich um die Mindestentzugsdauer, die, von einer hier nicht interessierenden Ausnahme (Strafmilderung nach Art. 100 Ziff. 4 dritter Satz SVG bei einem Lenker eines Feuerwehr-, Sanitäts-, Polizei- oder Zollfahrzeugs, der auf einer dringlichen oder taktisch notwendigen Dienstfahrt Verkehrsregeln oder besondere Verkehrsanordnungen missachtet und nicht die Sorgfalt hat walten lassen, die nach den Umständen erforderlich war oder der auf dringlichen Dienstfahrten nicht die erforderlichen Warnsignale abgegeben hat) abgesehen, nicht unterschritten werden darf (Art. 16 Abs. 3 SVG). Daran ändern auch die Hinweise des Rekurrenten auf die Angewiesenheit auf den Führerausweis aus beruflichen und familiären Gründen nichts. Soweit sich der Rekurs gegen den Führerausweisentzug und dessen Dauer richtet, ist er somit unbegründet und abzuweisen.</w:t>
      </w:r>
    </w:p>
    <w:p>
      <w:r>
        <w:rPr>
          <w:b/>
        </w:rPr>
        <w:t>E. 5</w:t>
      </w:r>
    </w:p>
    <w:p>
      <w:r>
        <w:t>Die Vorinstanz ordnete in Ziffer 2 der angefochtenen Verfügung an, dass der Rekurrent den Führerausweis und allfällige vorhandene weitere Ausweise bis spätestens am 8. August 2018 abzugeben habe. Hierbei handelt es sich um eine vollstreckungsrechtliche Anordnung, die separat verfügt werden müsste. Darauf ist nicht weiter einzugehen. Der Abgabetermin ist bereits vorüber, weshalb die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Zusammenfassend ist der Rekurs teilweise gutzuheissen. Die Kosten des Rekursverfahrens haben die Verfahrensbeteiligten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Entscheid: 1.  Ziffer 2 der Verfügung des Strassenverkehrsamts vom 8. Mai 2018 (Zeitpunkt der Abgabe des Führerausweises) wird zufolge Gegenstandslosigkeit aufgehoben. Im Übrigen wird der Rekurs abgewiesen. 2.  Die amtlichen Kosten von Fr. 1'200.– haben der Rekurrent zu vier Fünfteln und der Staat zu einem Fünftel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