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IV-2017/152 vom 16. August 2017</w:t>
      </w:r>
    </w:p>
    <w:p>
      <w:r>
        <w:t>Sg Verwaltungsrekurskommission, 2017-08-16, DE</w:t>
      </w:r>
    </w:p>
    <w:p>
      <w:r>
        <w:rPr>
          <w:b/>
        </w:rPr>
        <w:t xml:space="preserve">Quelle: </w:t>
      </w:r>
      <w:r>
        <w:t>https://mcp.opencaselaw.ch/entscheid/sg_publikationen_IV-2017_152</w:t>
      </w:r>
    </w:p>
    <w:p>
      <w:r>
        <w:t>FR: SG_VERWALTUNGSREKURSKOMMISSION IV-2017/152 du 16 août 2017</w:t>
      </w:r>
    </w:p>
    <w:p>
      <w:r>
        <w:t>IT: SG_VERWALTUNGSREKURSKOMMISSION IV-2017/152 del 16 agosto 2017</w:t>
      </w:r>
    </w:p>
    <w:p>
      <w:pPr>
        <w:pStyle w:val="Heading2"/>
      </w:pPr>
      <w:r>
        <w:t>Regeste</w:t>
      </w:r>
    </w:p>
    <w:p>
      <w:r>
        <w:t>Art. 15d Abs. 1 SVG (SR 741.01). Die Rekurrentin missachtete auf einer kurzen Fahrt ein "Stop"-Signal, fuhr Schlangenlinie, hielt unnötigerweise vollständig an, fuhr innerorts mit 20 km/h weiter und berührte immer wieder den rechten Strassenrand mitsamt dem Randstein. Auf zwei Polizisten machte sie unmittelbar nach der fraglichen Fahrt einen psychisch instabilen Eindruck. Unter den gegebenen Umständen hat die Vorinstanz zufolge Zweifeln an der Fahreignung zu Recht eine verkehrsmedizinische Untersuchung angeordnet (Verwaltungsrekurskommission, Abteilung IV, 22. Februar 2018, IV-2017/152). Gegen diesen Entscheid wurde beim Verwaltungsgericht Beschwerde erhoben. Das Verwaltungsgericht hat die Beschwerde mit Entscheid vom 12. Juli 2018 abgewiesen (B 2018/68).</w:t>
      </w:r>
    </w:p>
    <w:p>
      <w:pPr>
        <w:pStyle w:val="Heading2"/>
      </w:pPr>
      <w:r>
        <w:t>Erwägungen</w:t>
      </w:r>
    </w:p>
    <w:p>
      <w:r>
        <w:rPr>
          <w:b/>
        </w:rPr>
        <w:t>E. 1</w:t>
      </w:r>
    </w:p>
    <w:p>
      <w:r>
        <w:t>Die Eintretensvoraussetzungen sind von Amtes wegen zu prüfen. Bei der Verwaltungsrekurskommission können unter anderem die Verfügungen der für den Vollzug der Strassenverkehrsgesetzgebung zuständigen Behörden mit Rekurs angefochten werden (Art. 41 lit. g des Gesetzes über die Verwaltungsrechtspflege [sGS 951.1; abgekürzt: VRP]). Da die Rekurrentin zur Rekurserhebung befugt ist und ihr Rekurs vom 7. September 2017 mitsamt Ergänzung vom 28. September 2017 die gesetzlichen Anforderungen von Art. 45, 47 und 48 VRP erfüllt, ist auf die mit dem Rekurs erhobenen Rügen gegen die Anordnung einer ärztlichen Fahreignungsabklärung einzutreten. Soweit die Rekurrentin hingegen die strafrechtliche Verfolgung des Meldeerstatters beantragt, kann aufgrund offensichtlicher Unzuständigkeit der Verwaltungsrekurskommission nicht auf den Rekurs eingetreten werden; die Rekurrentin ist diesbezüglich an die Strafverfolgungsbehörden zu verweisen.</w:t>
      </w:r>
    </w:p>
    <w:p>
      <w:r>
        <w:rPr>
          <w:b/>
        </w:rPr>
        <w:t>E. 2</w:t>
      </w:r>
    </w:p>
    <w:p>
      <w:r>
        <w:t>Die angefochtene Verfügung vom 16. August 2017 ist von Amtes wegen auf ihre formelle Rechtmässigkeit hin zu überprüfen. a) Der verfassungsmässige Anspruch auf rechtliches Gehör (Art. 29 Abs. 2 der Bundesverfassung [SR 101]) verlangt, dass die Behörde die Vorbringen der vom Entscheid in ihrer Rechtsstellung betroffenen Person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aber so abgefasst sein, dass sich die betroffene Person über die Tragweite des Entscheids Rechenschaft geben und ihn in voller Kenntnis der Sache an eine höhere Instanz weiterziehen kann. In diesem Sinne müssen wenigstens kurz die Überlegungen genannt werden, von denen sich die Behörde leiten liess und auf die sich ihr Entscheid stützt (statt vieler Urteil des Bundesgerichts [BGer] 1C_50/2017 vom 16. Mai 2017, E. 3.2). Der Umfang der Begründungspflicht richtet sich grundsätzlich nach der Komplexität des zu beurteilenden Sachverhalts (BGE 111 Ia 2, E. 4b). Bei klarer Sachlage und bestimmten Normen können Hinweise auf die Rechtsgrundlagen genügen, während ein weiter Spielraum der Behörde – aufgrund von Ermessen oder unbestimmten Rechtsbegriffen – und eine Vielzahl von in Betracht fallenden Sachverhaltselementen eine ausführliche bis © Kanton St.Gallen 2026 Seite 3/10 Publikationsplattform St.Galler Gerichte Begründung gebieten (Gerold Steinmann, Die schweizerische Bundesverfassung – St. Galler Kommentar, 3. Aufl., Zürich/St. Gallen 2014, Art. 29 N 49 mit Hinweisen auf die Rechtsprechung). Der st. gallische Gesetzgeber hielt die Begründungspflicht für Verfügungen in Art. 24 Abs. 1 lit. a VRP ausdrücklich fest (vgl. Urteil des Verwaltungsgerichts des Kantons St. Gallen B 2013/15 vom 11. März 2014, im Internet abrufbar unter www.gerichte.sg.ch). b) Sowohl bei der brieflichen Vorankündigung der ärztlichen Fahreignungsabklärung vom 18. Juli 2017 als auch bei deren Anordnung mit Verfügung vom 16. August 2017 verwies die Vorinstanz auf ein Schreiben der Stadtpolizei St. Gallen vom 12. Juli 2017, wonach bezüglich der Eignung der Rekurrentin zum Führen von Motorfahrzeugen Zweifel bestehen würden. Beim erwähnten Schreiben handelt es sich namentlich um einen Bericht zur Meldung des auffälligen Fahrverhaltens und der anschliessenden polizeilichen Einvernahme der Rekurrentin am 6. Juli 2017 (act. 10/4 f.). Dieses legte die Vorinstanz weder dem Brief vom 18. Juli 2017 noch der Verfügung vom 16. August 2017 bei, aus denen deshalb in keiner Weise hervorgeht, inwiefern oder aufgrund welcher Vorfälle Zweifel an der Fahreignung der Rekurrentin bestehen sollen. Damit verletzte die Vorinstanz den Anspruch der Rekurrentin auf rechtliches Gehör. Auf die Rückweisung der Angelegenheit an die Vorinstanz zu neuer Verfügung ist aber zu verzichten, da die Gehörsverletzung im vorliegenden Rekursverfahren geheilt werden kann. Das Gericht verfügt über volle Überprüfungsbefugnis (Art. 46 Abs. 1 VRP).</w:t>
      </w:r>
    </w:p>
    <w:p>
      <w:r>
        <w:rPr>
          <w:b/>
        </w:rPr>
        <w:t>E. 3</w:t>
      </w:r>
    </w:p>
    <w:p>
      <w:r>
        <w:t>Die Kosten des Rekursverfahrens haben die Parteien nach Massgabe ihres Obsiegens und Unterliegens zu tragen (Art. 95 Abs. 1 VRP). Die Rekurrentin dringt zwar mit ihrer materiellen Rüge nicht durch, es wurde aber ihr formeller Anspruch auf rechtliches Gehör verletzt. Eine Verfügung, die unter Verletzung des Gehörsanspruchs einer Partei erlassen wird, ist stets rechtsfehlerhaft und deren Anfechtung erfolgt grundsätzlich zu Recht. Wenn das Gericht – wie vorliegend – einen solchen Mangel ausnahmsweise im Rekursverfahren heilt, entscheidet es im Grunde anstelle der verfügenden Behörde. Erst durch seinen Entscheid erfüllt sich der Anspruch auf eine formell korrekte Verfügung. Deshalb sind die Gerichtskosten unabhängig vom Ausgang des Rekursverfahrens von der Vorinstanz zu tragen, welche alleine durch die Gehörsverletzung Anlass zur vorliegenden Rekurserhebung gab (vgl. BGer 1C_564/2013 vom 30. August 2013, E. 2.3). Entsprechend sind die amtlichen Kosten dem Staat aufzuerlegen. Eine Entscheidgebühr von Fr. 1'200.– (vgl. Art. 7 Ziff. 122 der Gerichtskostenverordnung [sGS 941.12]) erscheint angemessen. Der Kostenvorschuss von Fr. 1'200.– ist der Rekurrentin zurückzuerstatten. Entscheid: © Kanton St.Gallen 2026 Seite 9/10 Publikationsplattform St.Galler Gerichte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