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IV-2014/38 vom 28. Februar 2014</w:t>
      </w:r>
    </w:p>
    <w:p>
      <w:r>
        <w:t>Sg Verwaltungsrekurskommission, 2014-02-28, DE</w:t>
      </w:r>
    </w:p>
    <w:p>
      <w:r>
        <w:rPr>
          <w:b/>
        </w:rPr>
        <w:t xml:space="preserve">Quelle: </w:t>
      </w:r>
      <w:r>
        <w:t>https://mcp.opencaselaw.ch/entscheid/sg_publikationen_IV-2014_38</w:t>
      </w:r>
    </w:p>
    <w:p>
      <w:r>
        <w:t>FR: SG_VERWALTUNGSREKURSKOMMISSION IV-2014/38 du 28 février 2014</w:t>
      </w:r>
    </w:p>
    <w:p>
      <w:r>
        <w:t>IT: SG_VERWALTUNGSREKURSKOMMISSION IV-2014/38 del 28 febbraio 2014</w:t>
      </w:r>
    </w:p>
    <w:p>
      <w:pPr>
        <w:pStyle w:val="Heading2"/>
      </w:pPr>
      <w:r>
        <w:t>Regeste</w:t>
      </w:r>
    </w:p>
    <w:p>
      <w:r>
        <w:t>Art. 16b Abs. 1 lit. a, Art. 16b Abs. 2 lit. a, Art. 26 Abs. 2, Art. 31 Abs. 1 SVG (SR 741.01). Die Fahrzeuglenkerin kollidierte zufolge ungenügender Aufmerksamkeit mit einer einen Fussgängerstreifen von links nach rechts überquerenden Jugendlichen. Das Mädchen stiess ein Fahrrad und rannte im Kollisionszeitpunkt. Bestätigung des einmonatigen Führerausweisentzugs wegen mittelschwerer Widerhandlung gegen die Strassenverkehrsvorschriften (Verwaltungsrekurskommission, Abteilung IV, 3. Juli 2014, IV-2014/38).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März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Das Gesetz unterscheidet zwischen leichten (Art. 16a des Strassenverkehrsgesetzes, SR 741.01, abgekürzt: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 138 E. 2.2.2).</w:t>
      </w:r>
    </w:p>
    <w:p>
      <w:r>
        <w:rPr>
          <w:b/>
        </w:rPr>
        <w:t>E. 3</w:t>
      </w:r>
    </w:p>
    <w:p>
      <w:r>
        <w:t>a) In tatsächlicher Hinsicht hielt das Untersuchungsamt Uznach im Strafbefehl vom 10. Oktober 2013 gestützt auf die Feststellungen und Anzeige der Polizei fest, dass es "mit einer nicht ordnungsgemäss den Fussgängerstreifen querenden Schülerin mit Fahrrad zu einer Kollision" gekommen sei, die die Rekurrentin mitverschuldet habe. Bei genügender Aufmerksamkeit hätte die Rekurrentin die Kollision vermeiden können. Sie habe dadurch Art. 26 Abs. 2 und Art. 31 Abs. 1 SVG verletzt. b) Die Verwaltungsbehörde ist an die tatsächlichen Feststellungen im Strafverfahren grundsätzlich gebunden. Nach ständiger Rechtsprechung darf sie vom Strafurteil nur abweichen, wenn sie Tatsachen feststellt und ihrem Entscheid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von Verkehrsregeln betreffen (BGE 124 II 103 E. 1c/aa). Die Verteidigungsrechte und allfällige Rechtsmittelmöglichkeiten hat die Beschuldigte bereits im Strafverfahren wahrzunehmen, wenn sie weiss oder annehmen muss, dass gegen sie auch ein Führerausweisentzugsverfahren durchgeführt werden wird. c) Die Voraussetzungen für ein Abweichen von den tatsächlichen Feststellungen im Strafbefehl sind nicht erfüllt. Die Rekurrentin wurde im Schreiben der Vorinstanz vom 21. August 2013 auf die Bedeutung des Ausgangs des Strafverfahrens für das Administrativmassnahmeverfahren aufmerksam gemacht. Der Strafbefehl vom 10. Oktober 2013 wurde mangels Anfechtung gemäss Art. 354 Abs. 3 der Schweizerischen Strafprozessordnung (SR 312.0, abgekürzt: StPO) zum rechtskräftigen Urteil. In tatsächlicher Hinsicht ist dementsprechend der Sachverhalt massgebend, welcher vom Untersuchungsamt Uznach festgestellt wurde. Es ist somit davon auszugehen, dass die Rekurrentin aufgrund mangelnder Aufmerksamkeit eine Kollision mit einer nicht ordnungsgemäss den Fussgängerstreifen querenden Schülerin, die ein Fahrrad bei sich hatte, mitverschuldete. Da im Strafbefehl von Kollision die Rede ist, ist von einem Zusammenprall auszugehen. Darauf, dass sich das Auto der Rekurrentin und die Schülerin nie berührt haben sollen – wie es die Rekurrentin geltend macht und was aber im klaren Widerspruch zu den Angaben der Schülerin steht – ist deshalb nicht weiter einzugehen.</w:t>
      </w:r>
    </w:p>
    <w:p>
      <w:r>
        <w:rPr>
          <w:b/>
        </w:rPr>
        <w:t>E. 4</w:t>
      </w:r>
    </w:p>
    <w:p>
      <w:r>
        <w:t>Gegenüber Kindern, Gebrechlichen und alten Leuten ist besondere Vorsicht geboten, ebenso wenn Anzeichen dafür bestehen, dass sich ein Strassenbenützer nicht richtig verhalten wird (Art. 26 Abs. 2 SVG). Gemäss Art. 31 Abs. 1 SVG muss der Führer das Fahrzeug ständig so beherrschen, dass er seinen Vorsichtspflichten nachkommen kann. Indem die Rekurrentin mit mangelnder Aufmerksamkeit ein Fahrzeug führte und so eine Kollision mit einem Mädchen mitverschuldete, verletzte sie diese beiden Verkehrsvorschriften. Zu prüfen ist, ob die Verkehrsregelverletzung eine mittelschwere Widerhandlung im Sinn von Art. 16b Abs. 1 lit. a SVG oder eine leichte Widerhandlung gemäss Art. 16a Abs. 1 lit a SVG war.</w:t>
      </w:r>
    </w:p>
    <w:p>
      <w:r>
        <w:rPr>
          <w:b/>
        </w:rPr>
        <w:t>E. 5</w:t>
      </w:r>
    </w:p>
    <w:p>
      <w:r>
        <w:t>a) Die Vorinstanz stufte die Kollision als mittelschwere Widerhandlung im Sinn von Art. 16b Abs. 1 lit. a SVG ein. Zur Begründung wird in der angefochtenen Verfügung ausgeführt, dass der Fussgängerstreifen und der übrige Bereich der Strasse von weitem sichtbar gewesen seien. Bei entsprechender Aufmerksamkeit hätte die Schülerin insbesondere aufgrund der Tatsache, dass diese den Fussgängerstreifen von links nach rechts überquerte, frühzeitig erkannt werden müssen und nicht erst unmittelbar vor der Kollision. Die Pflicht, allfälligen Fussgängern erhöhte Aufmerksamkeit zu schenken, sei vernachlässigt worden. Ein solches Verschulden könne nicht mehr als leicht eingestuft werden. Auch ein allfälliges Fehlverhalten der Fussgängerin könne das Verschulden nicht aufheben. Im Administrativmassnahmeverfahren sei eine Schuldkompensation ausgeschlossen. Durch das Fehlverhalten sei schuldhaft ein Verkehrsunfall und dabei eine Verkehrsteilnehmerin konkret gefährdet worden. Damit liege ein mittelschwerer Fall gemäss Art. 16b Abs. 1 SVG vor. Gegen die Qualifikation des Verhaltens der Rekurrentin als mittelschwere Widerhandlung wird im Rekurs im Wesentlichen vorgebracht, dass sich die Rekurrentin im Bereich eines Fussgängerstreifens in erster Linie auf korrekt den Streifen passierende Fussgänger zu konzentrieren habe, bevor sie nach unkorrekt und rasch die Fahrbahn überquerenden Fahrrädern Ausschau zu halten habe. Es könne ihr höchstens zum äusserst leichten Verschulden gereichen, wenn sie die unvermittelt von links in einem Zug über den linksseitigen Streifen und ungebremst über die Mittelinsel fahrende Velofahrerin etwas zu spät wahrgenommen habe. Die daraus resultierende Sturzgefahr habe aber in erster Linie die Radfahrerin selbst zu vertreten. Hätte sie ihr Velo vorschriftsgemäss gestossen, so wäre sie nicht gestürzt. Unter diesen Umständen sei von einem leichten Verschulden und einer bloss geringen Gefährdung auszugehen. b) Im Strafbefehl wurde die Rekurrentin wegen einfacher Verkehrsregelverletzung gemäss Art. 90 Abs. 1 SVG verurteilt. Die Strafbestimmung der einfachen Verkehrsregelverletzung gemäss Art. 90 Abs. 1 SVG erfasst administrativrechtlich leichte und mittelschwere Widerhandlungen (BGE 135 II 138 E. 2.4). Aus der strafrechtlichen Verurteilung kann die Rekurrentin folglich nichts zu ihren Gunsten ableiten. Ebenso wenig lässt die Bussenhöhe ohne Weiteres auf die administrativrechtliche Qualifikation der Widerhandlung schliessen. c) Eine leichte Widerhandlung im Sinn von Art. 16a Abs. 1 lit. a SVG setzt voraus, dass der Lenker durch die Verkehrsregelverletzung eine geringe Gefahr für die Sicherheit anderer hervorgerufen hat und ihn dabei nur ein leichtes Verschulden trifft. Nach der Rechtsprechung müssen beide Voraussetzungen kumulativ gegeben sein (BGE 135 II 138 E. 2.2.3). aa)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in: www.gerichte.sg.ch/Verwaltungsrekurskommission). Der Gefährdung der Sicherheit kommt durch die seit 1. Januar 2005 geltenden Art. 16a bis 16c SVG eine wesentliche und eigenständige Bedeutung zu. Der Gesetzgeber hat bewusst dem Gesichtspunkt der Verkehrsgefährdung ein höheres Gewicht beigemessen. Insbesondere hat er das Recht des Warnungsentzugs verselbständigt und im Hinblick auf die Erhöhung der Verkehrssicherheit verschärft (Urteil des Bundesgerichts [BGer] 1C_267/2010 vom 14. September 2010 E. 3.4). Gemäss Polizeirapport vom 21. Juni 2013 erlitt das am Unfall beteiligte Mädchen diverse Prellungen an der rechten Körperseite. Sie war zur Untersuchung im Spital Uznach. Da die Strassenverkehrsgesetzgebung die körperliche Integrität und die Gesundheit anderer Personen schützt, genügt jede Gefährdung, welche eine Beeinträchtigung der Gesundheit nach sich ziehen kann. Eine Verletzung dieser Rechtsgüter muss deshalb nicht die Schwelle einer Körperverletzung im Sinn des Strafrechts erreichen (vgl. GVP 2006 Nr. 29). Selbst wenn die Verkehrsregelverletzung der Rekurrentin nicht zu einer Verletzung der durch die Art. 16 ff. SVG geschützten Rechtsgüter geführt haben sollte – wie es die Rekurrentin geltend macht –, blieb es jedenfalls nicht bei einer abstrakten Gefährdung. Mit der Kollision konkretisierte sich die Gefahr, und es zeigte sich, dass das Verhalten der Rekurrentin jedenfalls geeignet war, andere Verkehrsteilnehmer zu verletzen. bb) Gemäss bundesgerichtlicher Rechtsprechung begeht eine schwere Widerhandlung gegen die Strassenverkehrsvorschriften, wer das Vortrittsrecht einer von links kommenden Fussgängerin auf dem Fussgängerstreifen missachtet, sein Fahrzeug nicht mehr rechtzeitig zum Halten bringt und die Fussgängerin noch touchiert (BGer 6A.78/2006 vom 28. Dezember 2006 E. 2). Dass das Verhalten der Rekurrentin nicht als schwere Widerhandlung zu qualifizieren ist, hängt damit zusammen, dass die Schülerin gemäss Strafbefehl vom 10. Oktober 2013 den Fussgängerstreifen "nicht ordnungsgemäss" überquerte. Dies ist auch im Administrativmassnahmeverfahren zu berücksichtigen. Dass das Mädchen mit ihrem Fahrrad über den Fussgängerstreifen gefahren ist – wie im Rekurs geltend gemacht wird –, steht jedoch weder im Polizeirapport ("ihr Fahrrad auf der rechten Seite stossend") noch im Strafbefehl ("nicht ordnungsgemäss den Fussgängerstreifen querende Schülerin mit Fahrrad"). Das Mädchen selbst erklärte, dass es nach der Fussgängerinsel beim zweiten Balken zu rennen angefangen habe, da das Auto schnell gekommen sei. Die Rekurrentin war sich nicht sicher, ob das Mädchen gerannt oder gefahren ist. Das Verletzungsbild (Prellungen an der rechten Körperseite) spricht ebenfalls dafür, dass das Mädchen gerannt, und nicht gefahren ist, weshalb auch im Administrativmassnahmeverfahren davon auszugehen ist. Ein leichtes Verschulden liegt deshalb aber nicht vor. Gerade vor Fussgängerstreifen wird vom Fahrzeugführer eine erhöhte Aufmerksamkeit erwartet. Hinzu kommt, dass es im Administrativmassnahmerecht – gleich wie im Strafrecht – keine Schuldkompensation gibt (vgl. VRKE IV-2011/27 vom 30. Juni 2011 E. 3.d, in: www.gerichte.sg.ch/Verwaltungsrekurskommission). Dies bedeutet, dass die einem Fahrzeuglenker anzulastende Sorgfaltspflichtverletzung durch ein allfälliges schuldhaftes Verhalten eines Dritten grundsätzlich nicht beseitigt werden kann. d) Zusammenfassend steht damit fest, dass weder eine geringe Gefährdung noch ein leichtes Verschulden vorliegt. Die Voraussetzungen der leichten Widerhandlung sind damit nicht erfüllt. Die Würdigung der Vorinstanz erweist sich als zutreffend. Es liegt eine mittelschwere Widerhandlung im Sinne von Art. 16b Abs. 1 lit. a SVG vor, und der Führerausweis wurde zu Recht entzogen.</w:t>
      </w:r>
    </w:p>
    <w:p>
      <w:r>
        <w:rPr>
          <w:b/>
        </w:rPr>
        <w:t>E. 6</w:t>
      </w:r>
    </w:p>
    <w:p>
      <w:r>
        <w:t>Zu prüfen bleibt die von der Vorinstanz verfügte Dauer des Entzugs des Führerausweises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gemäss Art. 16b Abs. 2 lit. a SVG nach einer mittelschweren Widerhandlung mindestens einen Monat. b) Die von der Vorinstanz festgesetzte Dauer des Führerausweisentzugs entspricht der Mindestentzugsdauer gemäss Art. 16b Abs. 2 lit. a SVG. Da das Gesetz eine Unterschreitung dieser Mindestentzugsdauer ausschliesst (Art. 16 Abs. 3 SVG), können massnahmemindernde Umstände, wie ein allfällig ungetrübter automobilistischer Leumund eine Unterschreitung der Mindestentzugsdauer nicht rechtfertigen.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4462 ff.). Daraus folgt, dass die Mindestentzugsdauer selbst in Ausnahmesituationen nicht unterschritten werden darf. c) Nach der früheren Rechtsprechung wurde der seit mehr als fünf Jahren ungetrübte automobilistische Leumund bei der Bemessung der Entzugsdauer zu Gunsten des Betroffenen berücksichtigt. Diese Rechtsprechung ging davon aus, dass das automatisierte Datensystem für Administrativmassnahmen zweimal jährlich auf den neuesten Stand gebracht wird, indem sämtliche Massnahmen, die fünf Jahre und länger zurückliegen – bei Sicherungsentzügen und Warnungsentzügen wegen Fahrens in angetrunkenem Zustand sowie Vereitelung der Blutprobe nach zehn Jahren – im System gelöscht wurden (vgl. BGE 122 II 21 E. 1b). Die Rechtslage hat sich seit diesem Entscheid insoweit geändert, als Verweigerungen, Entzüge und Aberkennungen von Lernfahr-, Führer- oder Fahrlehrerausweisen sowie Fahrverbote nicht mehr bereits nach fünf, sondern erst nach zehn Jahren nach ihrem Ablauf oder ihrer Aufhebung und lediglich andere Massnahmen fünf Jahre nach Eintreten der Rechtskraft aus dem Datensystem entfernt werden (vgl. Art. 104b Abs. 6 lit. b SVG in Verbindung mit Art. 10 Abs. 1 der Verordnung über das automatisierte Administrativmassnahme-Register, ADMAS-Register-Verordnung, SR 741.55). Diese Rechtsänderung rechtfertigt es, einen automobilistischen Leumund, der nicht seit mehr als zehn Jahren ungetrübt erscheint, grundsätzlich nicht massnahmemindernd zu berücksichtigen. Da die Rekurrentin im Jahr 2007 einen Verkehrsunfall verursacht hatte und ihr der Führerausweis deswegen für einen Monat entzogen war, bezeichnete die Vorinstanz ihren automobilistischen Leumund zu Recht als getrübt.</w:t>
      </w:r>
    </w:p>
    <w:p>
      <w:r>
        <w:rPr>
          <w:b/>
        </w:rPr>
        <w:t>E. 7</w:t>
      </w:r>
    </w:p>
    <w:p>
      <w:r>
        <w:t>Zusammenfassend ergibt sich, dass die Vorinstanz der Rekurrentin den Führerausweis zu Recht wegen einer mittelschweren Widerhandlung gegen die Strassenverkehrsvorschriften gemäss Art. 16b Abs. 2 lit. a SVG für einen Monat entzogen hat. Der Rekurs ist daher abzuweisen.</w:t>
      </w:r>
    </w:p>
    <w:p>
      <w:r>
        <w:rPr>
          <w:b/>
        </w:rPr>
        <w:t>E. 8</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