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IV-2014/12 vom 20. Januar 2014</w:t>
      </w:r>
    </w:p>
    <w:p>
      <w:r>
        <w:t>Sg Verwaltungsrekurskommission, 2014-01-20, DE</w:t>
      </w:r>
    </w:p>
    <w:p>
      <w:r>
        <w:rPr>
          <w:b/>
        </w:rPr>
        <w:t xml:space="preserve">Quelle: </w:t>
      </w:r>
      <w:r>
        <w:t>https://mcp.opencaselaw.ch/entscheid/sg_publikationen_IV-2014_12</w:t>
      </w:r>
    </w:p>
    <w:p>
      <w:r>
        <w:t>FR: SG_VERWALTUNGSREKURSKOMMISSION IV-2014/12 du 20 janvier 2014</w:t>
      </w:r>
    </w:p>
    <w:p>
      <w:r>
        <w:t>IT: SG_VERWALTUNGSREKURSKOMMISSION IV-2014/12 del 20 gennaio 2014</w:t>
      </w:r>
    </w:p>
    <w:p>
      <w:pPr>
        <w:pStyle w:val="Heading2"/>
      </w:pPr>
      <w:r>
        <w:t>Regeste</w:t>
      </w:r>
    </w:p>
    <w:p>
      <w:r>
        <w:t>Art. 16c Abs. 1 lit. a, Art. 16c Abs. 2 lit. a, Art. 32 Abs. 1 SVG (SR 741.01); Art. 4a VRV (SR 741.11). Der Fahrzeuglenker überschritt die signalisierte, zulässige Höchstgeschwindigkeit auf der Autobahn von 80 km/h um 37 km/h. Dies stellt eine schwere Widerhandlung gegen die Strassenverkehrsvorschriften dar und wurde zu Recht mit einem dreimonatigen Führerausweisentzug geahndet (Verwaltungsrekurskommission, Abteilung IV, 28. Mai 2014, IV-2014/12).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31. Januar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Die Vorinstanz hat dem Rekurrenten den Führerausweis gestützt auf Art. 16c Abs. 1 lit. a SVG wegen einer schweren Widerhandlung für drei Monate entzogen. Sie ging von einer Geschwindigkeitsüberschreitung auf der Autobahn von 37 km/h aus. a) Die Geschwindigkeit ist stets den Umständen anzupassen, namentlich den Besonderheiten von Fahrzeug und Ladung sowie den Strassen-, Verkehrs- und Sichtverhältnissen (Art. 32 Abs. 1 SVG). Nach Art. 4a Abs. 1 lit. der Verkehrsregelnverordnung (SR 741.11, abgekürzt: VRV) beträgt die allgemeine Höchstgeschwindigkeit für Fahrzeuge auf der Autobahn unter günstigen Bedingungen 120 km/h. Dieser allgemeinen Höchstgeschwindigkeit gehen abweichende signalisierte Höchstgeschwindigkeiten vor (Art. 4a Abs. 5 VRV). Aus Gründen der Rechtsgleichheit hat das Bundesgericht für die Beurteilung von Geschwindigkeitsüberschreitungen präzise Regeln aufgestellt. Unabhängig von den konkreten Umständen liegt ein objektiv schwerer Fall etwa dann vor, wenn die Geschwindigkeit jeweils mindestens um 25 km/h innerorts, 30 km/h ausserorts oder 35 km/h auf einer Autobahn überschritten wird (vgl. Urteil des Bundesgerichts [BGer] 1C_335/2011 vom 26. Oktober 2011 E. 2.2 mit Hinweis auf BGer 1C_83/2008 vom 16. Oktober 2008 E. 2). Nach dieser Rechtsprechung stellt eine Geschwindigkeitsüberschreitung von 37 km/h auf der Autobahn, wie sie der Rekurrent am 22. September 2013 beging, ungeachtet der konkreten Verhältnisse objektiv eine schwere Widerhandlung dar. Dass die signalisierte Höchstgeschwindigkeit von 80 km/h nicht regelkonform gewesen sei, macht der Rekurrent nicht geltend (vgl. BGer 1C_404/2011 vom 16. März 2012 E. 3.3). b) In subjektiver Hinsicht verlangt Art. 16c Abs. 1 lit. a SVG ein rücksichtsloses oder sonst schwerwiegend verkehrswidriges Verhalten, d.h. ein schweres Verschulden, bei fahrlässigem Handeln mindestens grobe Fahrlässigkeit. Bei einer Überschreitung der zulässigen Höchstgeschwindigkeit, die in objektiver Hinsicht den Tatbestand von Art. 16c Abs. 1 lit. a SVG erfüllt, ist davon auszugehen, dass dem Lenker eine solche Überschreitung nicht verborgen bleiben kann und sie zumindest auf grober Fahrlässigkeit beruht (vgl. Schaffhauser, Grundriss des schweizerischen Strassenverkehrsrechts, Band III: Die Administrativmassnahmen, Bern 1995, Rz. 2305), es sei denn, es bestehe eine Ausnahmesituation (vgl. BGer 1C_263/2011 vom 22. August 2011 E. 2.6 mit Hinweisen auf BGE 123 II 37 E. 1f und BGer 1C_222/2008 vom 18. November 2008 E. 2.3). Eine solche Ausnahme wird nicht geltend gemacht. Der Rekurrent musste sich aufgrund des Ausmasses der Geschwindigkeitsüberschreitung bewusst gewesen sein, dass er die zulässige Höchstgeschwindigkeit von 80 km/h massiv überschreitet. Sein Verschulden ist demnach als schwer einzustufen. Die Vorinstanz ist damit zu Recht von einer schweren Widerhandlung gegen die Strassenverkehrsvorschriften gemäss Art. 16c Abs. 1 lit a SVG ausgegangen.</w:t>
      </w:r>
    </w:p>
    <w:p>
      <w:r>
        <w:rPr>
          <w:b/>
        </w:rPr>
        <w:t>E. 4</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Die Vorinstanz hat die Dauer der Massnahme auf drei Monate festgesetzt. Dies entspricht der Mindestentzugsdauer gemäss Art. 16c Abs. 2 lit. a SVG. Da das Gesetz eine Unterschreitung dieser Mindestentzugsdauer ausschliesst (Art. 16 Abs. 3 SVG), können massnahmemindernde Umstände, wie insbesondere der ungetrübte automobilistische Leumund oder die berufliche Angewiesenheit des Betroffenen auf den Führerausweis eine Unterschreitung der Mindestentzugsdauer nicht rechtfertigen. Angesichts der zwingenden Natur der gesetzlichen Mindestentzugsdauer verbleibt der rechtsanwenden Behörde auch kein Ermessensspielraum, innerhalb dessen sie Überlegungen zur Verhältnismässigkeit der Massnahme im Sinn der Erforderlichkeit zur Besserung des Betroffenen anstellen könnte (vgl. Botschaft, in: BBl 1999 S. 4462 ff.). Daraus folgt, dass die Mindestentzugsdauer selbst in Ausnahmesituationen nicht unterschritten werden kann. Die dreimonatige Entzugsdauer ist somit zu bestätigen.</w:t>
      </w:r>
    </w:p>
    <w:p>
      <w:r>
        <w:rPr>
          <w:b/>
        </w:rPr>
        <w:t>E. 5</w:t>
      </w:r>
    </w:p>
    <w:p>
      <w:r>
        <w:t>Der Rekurrent beantragt die Umwandlung des Führerausweisentzugs in gemeinnützige Arbeit, in eine längere Probe- oder Bewährungszeit oder in eine andere Strafe oder Massnahme. Da im Administrativmassnahmerecht des SVG solche Massnahmearten nicht vorgesehen sind (vgl. Art. 16 Abs. 2 SVG) und ein allfälliges Strafverfahren getrennt vom Administrativmassnahmeverfahren durchgeführt wird, ist dieser Antrag abzuweisen.</w:t>
      </w:r>
    </w:p>
    <w:p>
      <w:r>
        <w:rPr>
          <w:b/>
        </w:rPr>
        <w:t>E. 6</w:t>
      </w:r>
    </w:p>
    <w:p>
      <w:r>
        <w:t>Die Verlängerung der Probezeit wurde zu Recht nicht angefochten (Ziff. 4 der angefochtenen Verfügung), weshalb darauf nicht weiter einzugehen ist. Der Rekurrent wurde zudem auf die massnahmerechtlichen Folgen künftiger Widerhandlungen gegen die Strassenverkehrsvorschriften hingewiesen; dem ist nichts hinzuzufügen.</w:t>
      </w:r>
    </w:p>
    <w:p>
      <w:r>
        <w:rPr>
          <w:b/>
        </w:rPr>
        <w:t>E. 7</w:t>
      </w:r>
    </w:p>
    <w:p>
      <w:r>
        <w:t>Der Rekurs ist somit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