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IV-2012/47 vom 8. April 2003</w:t>
      </w:r>
    </w:p>
    <w:p>
      <w:r>
        <w:t>Sg Verwaltungsrekurskommission, 2003-04-08, DE</w:t>
      </w:r>
    </w:p>
    <w:p>
      <w:r>
        <w:rPr>
          <w:b/>
        </w:rPr>
        <w:t xml:space="preserve">Quelle: </w:t>
      </w:r>
      <w:r>
        <w:t>https://mcp.opencaselaw.ch/entscheid/sg_publikationen_IV-2012_47</w:t>
      </w:r>
    </w:p>
    <w:p>
      <w:r>
        <w:t>FR: SG_VERWALTUNGSREKURSKOMMISSION IV-2012/47 du 8 avril 2003</w:t>
      </w:r>
    </w:p>
    <w:p>
      <w:r>
        <w:t>IT: SG_VERWALTUNGSREKURSKOMMISSION IV-2012/47 del 8 aprile 2003</w:t>
      </w:r>
    </w:p>
    <w:p>
      <w:pPr>
        <w:pStyle w:val="Heading2"/>
      </w:pPr>
      <w:r>
        <w:t>Regeste</w:t>
      </w:r>
    </w:p>
    <w:p>
      <w:r>
        <w:t>Art. 16c Abs. 1 lit. a, Art. 16c Abs. 2 lit. c SVG (SR 741.01). Überschreitung der zulässigen Höchstgeschwindigkeit ausserorts von 80 km/h um 43 km/h. Bestätigung der Führerausweisentzugsdauer von zwölf Monaten. Dem Fahrzeuglenker war der Führerausweis in den vergangenen fünf Jahren bereits wegen einer schweren Widerhandlung gegen die Strassenverkehrsvorschriften einmal für drei Monate entzogen (Verwaltungsrekurskommission, Abteilung IV, 30. August 2012, IV-2012/47).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18. Mai 2012 (Postaufgabe)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In tatsächlicher Hinsicht bestreitet der Rekurrent, mit der "vollumfänglichen Richtigkeit der Geschwindigkeitsmessung" einverstanden zu sein. a)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Verteidigungsrechte und allfällige Rechtsmittelmöglichkeiten hat der Beschuldigte bereits im Strafverfahren wahrzunehmen, wenn er weiss oder annehmen muss, dass gegen ihn auch ein Führerausweisentzugsverfahren durchgeführt werden wird. b) Am 3. Mai 2011 wurde gegen den Rekurrenten ein Administrativverfahren eröffnet und ihm am 10. Mai 2011 das rechtliche Gehör gewährt. Dabei wurde ihm mitgeteilt, dass der Führerausweis nach einer schweren Widerhandlung für mindestens zwölf Monate entzogen werde, wenn der Ausweis in den vorangegangenen fünf Jahren einmal wegen einer schweren oder zweimal wegen mittelschweren Widerhandlungen entzogen worden sei (act. 8/22). Mit Strafbefehl des Untersuchungsamtes Uznach vom 10. Mai 2011 wurde der Rekurrent wegen grober Verletzung von Verkehrsregeln nach Art. 32 Abs. 2 in Verbindung mit Art. 90 Ziff. 2 des Strassenverkehrsgesetzes (SR 741.01, abgekürzt: SVG) zu einer unbedingten Geldstrafe von vierzig Tagessätzen zu je Fr. 60.-- verurteilt. Gleichzeitig wurde er über die Weiterleitung des Strafbefehls an das Strassenverkehrsamt sowie über die Möglichkeit der Einspracheerhebung orientiert (act. 8/13). Am 14. Mai 2011 erhob er Einsprache gegen den Strafbefehl. In der Folge wurde das Administrativverfahren am 27. Mai 2011 sistiert mit dem Hinweis, es werde der rechtskräftige Strafentscheid abgewartet und danach wesentlich auf diesen abgestellt, da dem Rekurrenten im Strafverfahren umfassende Verteidigungsrechte zur Verfügung stünden (act. 8/18). Anlässlich der mündlichen Verhandlung vor dem Kreisgericht See-Gaster vom 8. März 2012 zog der Rekurrent die Einsprache gegen den Strafbefehl vom 10. Mai 2011 zurück, worauf dieser bestätigt und nach Rechtskraft dem Strassenverkehrsamt mitgeteilt wurde (act. 8/11). Der Rekurrent wusste demnach um die grosse Bedeutung des Ausgangs des Strafverfahrens für das Administrativmassnahmeverfahren. Dessen ungeachtet zog er die Einsprache gegen den Strafbefehl zurück, worauf dieser in Rechtskraft erwachsen ist. Die Administrativbehörde ist an die tatsächlichen Feststellungen im Strafverfahren grundsätzlich gebunden. Die Voraussetzungen für ein Abweichen (vgl. E. 2a) sind nicht erfüllt. Es gibt keine Hinweise, dass die Geschwindigkeitsmessung nicht korrekt durchgeführt worden wäre. Dem Einwand des Rekurrenten, es habe sich für ihn um ein neues Motorrad mit Digitaltacho gehandelt und "das Gespür" für diese Maschine sei mit der Routine für das alte Motorrad nicht vergleichbar (vgl. act. 1), ist entgegenzuhalten, dass der Motorradlenker in einer solchen Situation besonders vorsichtig fahren muss.</w:t>
      </w:r>
    </w:p>
    <w:p>
      <w:r>
        <w:rPr>
          <w:b/>
        </w:rPr>
        <w:t>E. 3</w:t>
      </w:r>
    </w:p>
    <w:p>
      <w:r>
        <w:t>Gemäss Art. 16 Abs. 2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der Verkehrsregeln grob und wird dadurch eine ernstliche Gefahr für die Sicherheit anderer hervorgerufen oder in Kauf genommen, ist die Widerhandlung schwer (Art. 16c Abs. 1 lit. a SVG). a) Im Strafverfahren wurde der Rekurrent wegen der Geschwindigkeitsüberschreitung vom 25. April 2011 der groben Verletzung von Verkehrsregeln nach Art. 90 Ziff. 2 SVG schuldig gesprochen. Die Strafbestimmung entspricht in Wortlaut und Sinn Art. 16c Abs. 1 lit. a SVG (vgl. BGE 132 II 234 E. 3.2). Nach der bundesgerichtlichen Rechtsprechung begeht ungeachtet der konkreten Umstände objektiv eine schwere Verkehrsregelverletzung, wer die zulässige Höchstgeschwindigkeit ausserorts von 80 km/h um 30 km/h oder mehr überschreitet (vgl. BGE 123 II 106 E. 2c). Das gilt auch bei einer nur kurzfristigen Überschreitung der zulässigen Geschwindigkeit während des Überholens (P. Weissenberger, Kommentar zum Strassenverkehrsgesetz, 2011, N 5 zu Art. 16c SVG). In subjektiver Hinsicht ist ein rücksichtsloses oder sonst schwerwiegend verkehrswidriges Verhalten verlangt, d.h.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Ziff. 2 bzw. Art. 16c Abs. 1 lit. a SVG erfüllt, geht das Bundesgericht in konstanter Rechtsprechung davon aus, dass dem Lenker eine solche Überschreitung nicht verborgen bleiben kann und sie zumindest auf grober Fahrlässigkeit beruht. b) Es ist erstellt, dass der Rekurrent in Ricken die erlaubte Höchstgeschwindigkeit von 80 km/h um 43 km/h überschritten hat (vgl. act. 8/3). Dass er gemäss eigenen Angaben zuerst zwei Personenwagen und anschliessend einen älteren VW-Bus überholt haben will (vgl. act. 8/7), ändert daran nichts. Ein Überholmanöver ist grundsätzlich regelkonform durchzuführen, ansonsten es abzubrechen ist oder erst gar nicht begonnen werden darf (vgl. BGE 6A.4/2006 vom 27. Februar 2006, E. 3). Der Rekurrent wohnt zudem in der Gegend und ist als Aussendienstmitarbeiter angestellt. Die allgemeine Höchstgeschwindigkeit von 80 km/h ausserorts ist ihm daher bekannt. c) Es besteht somit kein Anlass, im vorliegenden Verfahren von der Auffassung des Strafrichters abzuweichen, welcher das Verschulden des Rekurrenten als mindestens grobfahrlässig gewichtete. Die Vorinstanz ging damit zu Recht von einer schweren Widerhandlung im Sinn von Art. 16c Abs. 1 lit. a SVG aus.</w:t>
      </w:r>
    </w:p>
    <w:p>
      <w:r>
        <w:rPr>
          <w:b/>
        </w:rPr>
        <w:t>E. 4</w:t>
      </w:r>
    </w:p>
    <w:p>
      <w:r>
        <w:t>a) Gemäss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gemäss Art. 16c Abs. 2 lit. c SVG nach einer schweren Widerhandlung mindestens zwölf Monate, wenn in den vorangegangenen fünf Jahren der Ausweis einmal wegen einer schweren oder zweimal wegen mittelschweren Widerhandlungen entzogen war. b) Dem Rekurrenten war der Führerausweis wegen einer schweren Widerhandlung vom 13. Januar 2008 bis 12. April 2008 für drei Monate entzogen. Die vorliegend zu beurteilende schwere Widerhandlung geschah am 25. April 2011 und damit innerhalb der fünfjährigen Frist gemäss Art. 16c Abs. 2 lit. c SVG. Die Vorinstanz hat den Führerausweis für zwölf Monate und damit für die Mindestdauer entzogen. Letztere darf – ungeachtet allfälliger besonderer Umstände, einer beruflichen Angewiesenheit oder eines untadeligen automobilistischen Leumunds, wobei Letzteres beim Rekurrenten nicht zuträfe – nicht unterschritten werden (Art. 16 Abs. 3 SVG; BGE 132 II 234 E. 3.2). Bei der Mindestentzugsdauer gibt es keinen Spielraum (vgl. Urteil des Bundesgerichts 1C_129/2010 vom 3. Juni 2010, E. 3.3).</w:t>
      </w:r>
    </w:p>
    <w:p>
      <w:r>
        <w:rPr>
          <w:b/>
        </w:rPr>
        <w:t>E. 5</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