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IV-2011/62 vom 8. November 2010</w:t>
      </w:r>
    </w:p>
    <w:p>
      <w:r>
        <w:t>Sg Verwaltungsrekurskommission, 2010-11-08, DE</w:t>
      </w:r>
    </w:p>
    <w:p>
      <w:r>
        <w:rPr>
          <w:b/>
        </w:rPr>
        <w:t xml:space="preserve">Quelle: </w:t>
      </w:r>
      <w:r>
        <w:t>https://mcp.opencaselaw.ch/entscheid/sg_publikationen_IV-2011_62</w:t>
      </w:r>
    </w:p>
    <w:p>
      <w:r>
        <w:t>FR: SG_VERWALTUNGSREKURSKOMMISSION IV-2011/62 du 8 novembre 2010</w:t>
      </w:r>
    </w:p>
    <w:p>
      <w:r>
        <w:t>IT: SG_VERWALTUNGSREKURSKOMMISSION IV-2011/62 del 8 novembre 2010</w:t>
      </w:r>
    </w:p>
    <w:p>
      <w:pPr>
        <w:pStyle w:val="Heading2"/>
      </w:pPr>
      <w:r>
        <w:t>Regeste</w:t>
      </w:r>
    </w:p>
    <w:p>
      <w:r>
        <w:t>Art. 27 VRP (sGS 951.1). Tritt die Vorinstanz auf ein Wiedererwägungsgesuch nicht ein und wird dieser Entscheid angefochten, so kann im Rekursverfahren nur geprüft werden, ob das Nichteintreten rechtmässig war. Die Wiedererwägung darf nicht dazu dienen, Rechtsmittelfristen zu umgehen (Verwaltungsrekurskommission, Abteilung IV, 18. August 2011, IV-2011/62).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Mai 2011 ist rechtzeitig eingereicht worden und erfüllt in formeller und inhaltlicher Hinsicht die gesetzlichen Anforderungen (Art. 41 lit. g bis , 45, 47 und 48 des Gesetzes über die Verwaltungsrechtspflege, sGS 951.1, abgekürzt: VRP; sowie GVP 1977 Nr. 72 E. 2). Auf den Rekurs ist einzutreten.</w:t>
      </w:r>
    </w:p>
    <w:p>
      <w:r>
        <w:rPr>
          <w:b/>
        </w:rPr>
        <w:t>E. 2</w:t>
      </w:r>
    </w:p>
    <w:p>
      <w:r>
        <w:t>Anfechtungsgegenstand ist die Verfügung vom 4. Mai 2011, mit welcher die Vorinstanz auf das Wiedererwägungsgesuch vom 22. März 2011 nicht eingetreten ist. Dieser bildet die sachliche Begrenzung des Anfechtungsverfahrens (vgl. Cavelti/Vögeli, Verwaltungsgerichtsbarkeit im Kanton St. Gallen, 2. Aufl. 2003, Rz 579). In diesem Rekursverfahren kann daher nur geprüft werden, ob die Vorinstanz zu Recht auf das Wiedererwägungsgesuch nicht eingetreten ist. Käme die Verwaltungsrekurskommission zum Schluss, die Vorinstanz hätte auf das Wiedererwägungsgesuch eintreten müssen, so müsste sie die Streitsache zur materiellen Beurteilung an die Vorinstanz zurückweisen.</w:t>
      </w:r>
    </w:p>
    <w:p>
      <w:r>
        <w:rPr>
          <w:b/>
        </w:rPr>
        <w:t>E. 3</w:t>
      </w:r>
    </w:p>
    <w:p>
      <w:r>
        <w:t>Zu entscheiden ist folglich, ob die Vorinstanz zu Recht auf das Wiedererwägungsgesuch hinsichtlich der rechtskräftigen Verfügung des Führerausweisentzugs für zwölf Monate nicht eingetreten ist. a) Die Rekurrentin führte im Wiedererwägungsgesuch im Wesentlichen aus, als sie am 3. Dezember 2010 ohne Führerausweis unterwegs gewesen sei, sei sie der festen Überzeugung gewesen, der Führerausweisentzug gelte erst ab dem 8. Dezember 2010. Sie habe in keinster Art und Weise das Gesetz willentlich übertreten oder mutwillig gehandelt, es sei ein Unterlassen gewesen. Aufgrund dieser Tatsachen empfände sie das Strafmass von neun Monaten Führerausweisentzug als ungerecht und unverhältnismässig. Zudem sei sie beruflich auf den Führerausweis angewiesen; sie wisse nicht, ob sie ohne Auto ihre Arbeit behalten könne. Sie habe bisher gedacht, es gäbe in der Rechtsprechung einen Ermessensspielraum. Dem hielt die Vorinstanz entgegen, dass die Bestimmungen zum Fahren trotz Entzugs im Gesetz klar geregelt seien, weshalb der Behörde kein Ermessensspielraum zustehe. Die Rekurrentin mache keine erheblichen Tatsachen geltend, die nicht schon früher bekannt gewesen seien bzw. im ordentlichen Verfahren nicht schon hätten geltend gemacht werden können. b) Gemäss Art. 27 VRP sind Wiedererwägungsgesuche zulässig, begründen aber keinen Anspruch auf eine Stellungnahme der Behörde in der Sache und hemmen den Fristenlauf nicht. Beim Wiedererwägungsgesuch handelt es sich um eine Bitte um Überprüfung der Verfügung und eine andere Würdigung der Sach- oder Rechtslage (vgl. Häfelin/Müller/Uhlmann, Allgemeines Verwaltungsrecht, 6. Aufl. 2010, Rz 1828). Als sogenannter formloser Rechtsbehelf ist es weder an eine Form noch an die Einhaltung einer Frist gebunden, vermittelt jedoch grundsätzlich auch keinen Anspruch auf Prüfung und Beurteilung des Gesuchs (vgl. Beerli-Bonorand Ursina, Die ausserordentlichen Rechtsmittel in der Verwaltungsrechtspflege des Bundes und der Kantone, Zürich 1985, S. 171; Art. 27 VRP). Gemäss der bundesgerichtlichen Rechtsprechung besteht ausnahmsweise ein solcher Anspruch, wenn sich die Verhältnisse (Sach- und Rechtslage) seit dem Erlass der ursprünglichen Verfügung erheblich geändert haben oder wenn wichtige Tatsachen oder Beweise geltend gemacht werden, die zur Zeit der ersten Entscheidung nicht bekannt waren oder nicht geltend gemacht werden konnten (BGE 136 II 177 E. 2.1, 113 Ia 146 E. 3.a mit weiteren Hinweisen). Die Wiedererwägung ist nicht beliebig zulässig, sie darf namentlich nicht dazu dienen, Rechtsmittelfristen zu umgehen (Entscheid des Bundesgerichts 2C_339/2009 vom 5. Januar 2010 E. 2.1). Im Rechtsmittelverfahren gegen einen Nichteintretensentscheid auf ein Wiedererwägungsgesuch kann nur geltend gemacht werden, das Vorliegen eines Wiedererwägungsgrunds sei zu Unrecht verneint worden (Cavelti/Vögeli, a.a.O., Rz 576). c) Zu prüfen ist daher, ob ein Wiedererwägungsgrund im Sinne des Gesagten vorliegt. Die Vorinstanz hat die Eingabe der Rekurrentin vom 28. April 2011 zu Recht als Wiedererwägungsgesuch behandelt. Einerseits wurde diese Eingabe von der Rekurrentin selbst als "Antrag um Wiedererwägung" bezeichnet; andererseits stellte die Rekurrentin inhaltlich den Antrag auf Abänderung der Verfügung nach Ablauf der Rechtsmittelfrist (act. 3/3). Die Rekurrentin bringt vor, dass sie sich am 3. Dezember 2010 im Irrtum über ihre Fahrberechtigung befunden habe (act. 1, 6). Diesen Irrtum machte sie bereits bei der Polizei geltend, weshalb die Behauptung sich in den Akten der Vorinstanz befand (act. 3/10). Sie äusserte dieses Argument am 21. Dezember 2010 und durch ihren damaligen Rechtsvertreter nochmals am 17. März 2011 auch direkt gegenüber der Vorinstanz, welche in ihrer Verfügung darauf einging (act. 3/19, 3/23, 3/29). Der Irrtum stellt somit weder eine wesentliche Veränderung der Verhältnisse noch eine Tatsache oder einen Beweis dar, welcher nicht bekannt war oder nicht geltend gemacht werden konnte. Er genügt somit nicht als Wiedererwägungsgrund. Zudem macht die Rekurrentin geltend, sie sei beruflich auf den Führerausweis angewiesen, da sie im Pflegeberuf tätig sei. Hierzu hatte sie einen Fragebogen ausgefüllt, welcher vom 22. Dezember 2010 datiert und der Vorinstanz eingereicht wurde (act. 3/30). Die Rekurrentin bringt im Rekurs weder vor, ihre berufliche Situation habe sich seither verändert, noch führt sie aus, inwiefern sie die berufliche Angewiesenheit vor der Vorinstanz nicht geltend machen konnte oder sie ihr gar unbekannt war. Auch die geltend gemachte berufliche Angewiesenheit stellt somit keinen Wiedererwägungsgrund dar. Dass die damals anwaltlich vertretene Rekurrentin den Führerausweisentzug von neun Monaten für ihr Vergehen als unverhältnismässig erachtet, hätte sie im ordentlichen Rechtsmittelverfahren geltend machen müssen. Sie hat die entsprechende Verfügung jedoch unangefochten in Rechtskraft erwachsen lassen. d) Zusammenfassend kann festgehalten werden, dass kein Wiedererwägungsgrund vorlag und die Vorinstanz somit zu Recht nicht auf das Wiedererwägungsgesuch eingetreten ist. Der Rekurs ist daher abzuweisen.</w:t>
      </w:r>
    </w:p>
    <w:p>
      <w:r>
        <w:rPr>
          <w:b/>
        </w:rPr>
        <w:t>E. 4</w:t>
      </w:r>
    </w:p>
    <w:p>
      <w:r>
        <w:t>Dem Verfahrensausgang entsprechend sind die amtlichen Kosten der Rekurrentin aufzuerlegen (Art. 95 Abs. 1 VRP). Eine Entscheidgebühr von Fr. 800.-- ist angemessen (vgl. Art. 7 Ziff. 122 der Gerichtskostenverordnung, sGS 941.12). Der Kostenvorschuss von Fr. 1'200.-- ist zu verrechnen und im Mehrbetrag zurückzuerstatten. Entscheid: 1.    Der Rekurs wird abgewiesen. 2.    Die Rekurrentin bezahlt die amtlichen Kosten von Fr. 800.-- unter Verrechnung des Kostenvorschusses bis zum Betrag von Fr. 800.--. Im Mehrbetrag wird der Kostenvorschuss zurückerstattet. 3.    Die Finanzverwaltung wird angewiesen, der Rekurrentin Fr. 400.--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