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II/1-2010/10 vom 2. März 2011</w:t>
      </w:r>
    </w:p>
    <w:p>
      <w:r>
        <w:t>Sg Verwaltungsrekurskommission, 2011-03-02, DE</w:t>
      </w:r>
    </w:p>
    <w:p>
      <w:r>
        <w:rPr>
          <w:b/>
        </w:rPr>
        <w:t xml:space="preserve">Quelle: </w:t>
      </w:r>
      <w:r>
        <w:t>https://mcp.opencaselaw.ch/entscheid/sg_publikationen_II_1-2010_10</w:t>
      </w:r>
    </w:p>
    <w:p>
      <w:r>
        <w:t>FR: SG_VERWALTUNGSREKURSKOMMISSION II/1-2010/10 du 2 mars 2011</w:t>
      </w:r>
    </w:p>
    <w:p>
      <w:r>
        <w:t>IT: SG_VERWALTUNGSREKURSKOMMISSION II/1-2010/10 del 2 marzo 2011</w:t>
      </w:r>
    </w:p>
    <w:p>
      <w:pPr>
        <w:pStyle w:val="Heading2"/>
      </w:pPr>
      <w:r>
        <w:t>Regeste</w:t>
      </w:r>
    </w:p>
    <w:p>
      <w:r>
        <w:t>Art. 6 Abs. 1, Art. 58 Abs. 2, Art. 60 Abs. 1 lit. a und d BGBB (SR 211.412.11). Bei der Abtrennung von nicht mehr benötigten, ursprünglich landwirtschaftlich gebrauchten Wohn- und Ökonomiegebäuden beträgt das Richtmass für den Umschwung 1000 m2. Nicht zu dieser Fläche dürfen jene Grundstücksteile gerechnet werden, die nicht als Umschwung genutzt werden können. Die Zulässigkeit der Abtrennung eines Umschwungs in der Grössenordnung von 1'000 m2 ist aufgrund der Besonderheiten des Einzelfalls zu beurteilen. Dabei sind die Bedeutung des Landes einerseits für die zonenfremde Wohnnutzung und andererseits für die Landwirtschaft gegeneinander abzuwägen (Verwaltungsrekurskommission, Abteilung II/1, 2. März 2011, II/1-2010/10).</w:t>
      </w:r>
    </w:p>
    <w:p>
      <w:pPr>
        <w:pStyle w:val="Heading2"/>
      </w:pPr>
      <w:r>
        <w:t>Erwägungen</w:t>
      </w:r>
    </w:p>
    <w:p>
      <w:r>
        <w:rPr>
          <w:b/>
        </w:rPr>
        <w:t>E. 1</w:t>
      </w:r>
    </w:p>
    <w:p>
      <w:r>
        <w:t>Die Eintretensvoraussetzungen sind von Amtes wegen zu prüfen. Die Verwaltungsrekurskommission ist zur Behandlung von Beschwerden gegen Verfügungen über Bewilligungen zur Zerstückelung landwirtschaftlicher Grundstücke zuständig (Art. 80 Abs. 1 in Verbindung mit Art. 61 Abs. 1 und Art. 88 Abs. 1 des Bundesgesetzes über das bäuerliche Bodenrecht; SR 211.412.11, abgekürzt: BGBB; Art. 41 lit. d Ziff. 2 des Gesetzes über die Verwaltungsrechtspflege, sGS 951.1, abgekürzt: VRP). Die Beschwerdeführerin ist zur Erhebung von Beschwerden gegen die Erteilung einer Ausnahmebewilligung vom Zerstückelungsverbot befugt (Art. 83 Abs. 3 BGBB und Art. 90 Abs. 1 lit. b BGBB in Verbindung mit Art. 21 des Landwirtschaftsgesetzes, sGS 610.1, abgekürzt: LwG; Regierungsbeschluss vom 27. Mai 2008). Die Eingabe vom 25. Juni 2010 erfolgte innerhalb der Rechtsmittelfrist (vgl. Art. 88 Abs. 1 BGBB). Sie erfüllt in formeller und inhaltlicher Hinsicht die gesetzlichen Anforderungen (vgl. Art. 48 VRP). Auf die Beschwerde ist deshalb einzutreten.</w:t>
      </w:r>
    </w:p>
    <w:p>
      <w:r>
        <w:rPr>
          <w:b/>
        </w:rPr>
        <w:t>E. 2</w:t>
      </w:r>
    </w:p>
    <w:p>
      <w:r>
        <w:t>mit Art. 60 Abs. 1 lit. a BGBB vereinbar.</w:t>
      </w:r>
    </w:p>
    <w:p>
      <w:r>
        <w:rPr>
          <w:b/>
        </w:rPr>
        <w:t>E. 3</w:t>
      </w:r>
    </w:p>
    <w:p>
      <w:r>
        <w:t>Zusammenfassend erweist sich die Beschwerde damit als unbegründet und ist abzuweisen. Dem Verfahrensausgang entsprechend sind die amtlichen Kosten dem Staat aufzuerlegen (Art. 95 Abs. 1 VRP). Eine Entscheidgebühr von Fr. 1'500.-- ist angemessen (vgl. Art. 7 Ziff. 122 der Gerichtskostenverordnung, sGS 941.12). Entscheid: 1.    Die Beschwerde wird abgewiesen. 2.    Der Staat trägt die amtlichen Kosten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