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SG_HANDELSGERICHT HG.2003.76 vom 25. April 2006</w:t>
      </w:r>
    </w:p>
    <w:p>
      <w:r>
        <w:t>Sg Handelsgericht, 2006-04-25, DE</w:t>
      </w:r>
    </w:p>
    <w:p>
      <w:r>
        <w:rPr>
          <w:b/>
        </w:rPr>
        <w:t xml:space="preserve">Quelle: </w:t>
      </w:r>
      <w:r>
        <w:t>https://mcp.opencaselaw.ch/entscheid/sg_publikationen_HG.2003.76</w:t>
      </w:r>
    </w:p>
    <w:p>
      <w:r>
        <w:t>FR: SG_HANDELSGERICHT HG.2003.76 du 25 avril 2006</w:t>
      </w:r>
    </w:p>
    <w:p>
      <w:r>
        <w:t>IT: SG_HANDELSGERICHT HG.2003.76 del 25 aprile 2006</w:t>
      </w:r>
    </w:p>
    <w:p>
      <w:pPr>
        <w:pStyle w:val="Heading2"/>
      </w:pPr>
      <w:r>
        <w:t>Regeste</w:t>
      </w:r>
    </w:p>
    <w:p>
      <w:r>
        <w:t>Art. 18 Abs. 1 OR (SR 220); Art. 2, 3, 5 und 6 UWG (SR 241). Auslegung einer vertraglich vereinbarten Konkurrenzklausel, insbesondere des darin verwendeten Begriffs Vertragsgeräte. Ein unlauteres Verhalten ist nicht hinreichend substantiiert dargetan, wenn ohne hinreichende Konkretisierung behauptet wird, die Beklagte sei mit z. T. identischen Unterlagen wie die Klägerin aufgetreten. Die allfällige Verwendung zugänglicher Prospekte oder Homepages ist noch nicht unbefugte Verwertung von Arbeitsergebnissen (Handelsgericht, 25. April 2006, HG.2003.76).</w:t>
      </w:r>
    </w:p>
    <w:p>
      <w:pPr>
        <w:pStyle w:val="Heading2"/>
      </w:pPr>
      <w:r>
        <w:t>Erwägungen</w:t>
      </w:r>
    </w:p>
    <w:p>
      <w:r>
        <w:rPr>
          <w:b/>
        </w:rPr>
        <w:t>E. 1</w:t>
      </w:r>
    </w:p>
    <w:p>
      <w:r>
        <w:t>Beide Parteien sind in der Magnetfeld-Technologie tätig. Nach ihrem Handelsregisterauszug bezweckt die Klägerin Herstellung, Import und Export sowie Handel mit und Beratung für EMV-Produkte, die Beklagte "Beratung, Vertrieb und Installa¬tion von Störschutztechnik" (kläg.act. 3 und 4). Die Abkürzung EMF steht für "elektronisches Magnetfeld", EMV für "elektromagnetische Verträglichkeit". Wie den übereinstimmenden Angaben der Parteien entnommen werden kann, arbeiteten sie (bzw. ihre Rechtsvorgängerinnen - die Einzelfirma C. F. sowie die Kollektivgesellschaft S.) seit 1993 zusammen, indem die Beklagte Produkte der Klägerin vertrieb und installierte. Gemäss "Handelsvertrag" vom 9./17. Januar 1995 (kläg.act. 2) gewährte die Klägerin der Beklagten "…das exklusive Vertriebsrecht in der Deutsch-Schweiz" sowie bis auf schriftlichen Widerruf auch in den übrigen Kantonen "…für die im Anhang 1 aufgeführten Vertragsgeräte." Die Beklagte sollte die Vertragsgeräte auf eigene Rechnung kaufen und verkaufen und den Verkauf aktiv fördern (Ziff. 8 Abs. 1), wobei das Entfernen oder Unkenntlichmachen des darauf angebrachten Logos untersagt war (Ziff. 3 Abs. 1). Nach Ziff. 10 sollte der Vertrag sodann "sinngemäss auch für allfällige Änderungen oder Verbesserungen, die während der Fabrikation vorgenommen werden, sowie für Weiterentwicklungen" gelten. Der Vertrag wurde auf unbestimmte Zeit abgeschlossen, war aber unter Einhaltung einer Kündigungsfrist von sechs Monaten jeweils auf das Ende eines Kalenderjahres kündbar, erstmals per 31. Dezember 1996 (Ziff. 11 Abs. 1 und 2). Bei Nichterreichen des in Ziff. 4 vorgesehenen Umsatzziels von SFr. 400'000.-- pro Jahr sollte der Vertrag gemäss Ziff. 11 Abs. 4 ohne weiteres erlöschen. - Ziff. 12 enthielt sodann die folgende Konkurrenzklausel: "S. (= Beklagte) darf die Vertragsgeräte weder selbst herstellen noch von Dritten herstellen lassen. Diese Klausel bleibt 5 (fünf) Jahre über eine allfällige Vertragsauflösung hinaus weiter bestehen. Vor Vertragsablauf dürfen von S. Konkurrenzprodukte nur dann eingesetzt werden, wenn die Vertragsgeräte ihre Funktion nachweislich nicht erfüllen."</w:t>
      </w:r>
    </w:p>
    <w:p>
      <w:r>
        <w:rPr>
          <w:b/>
        </w:rPr>
        <w:t>E. 2</w:t>
      </w:r>
    </w:p>
    <w:p>
      <w:r>
        <w:t>Die Zusammenarbeit der Parteien erfuhr in der Folge einzelne Modifikationen. Die Beklagte stimmte diesen teilweise explizit zu; teilweise gehen die Meinungen der Parteien über die Bedeutung und Rechtswirkungen einzelner Aspekte auseinander. Darauf ist, soweit wesentlich, in den Erwägungen einzugehen.</w:t>
      </w:r>
    </w:p>
    <w:p>
      <w:r>
        <w:rPr>
          <w:b/>
        </w:rPr>
        <w:t>E. 3</w:t>
      </w:r>
    </w:p>
    <w:p>
      <w:r>
        <w:t>Unbestritten ist, dass die Zusammenarbeit der Parteien gegen Ende 2001 endete, wobei die Parteien auch hier die Gewichte im Einzelnen unterschiedlich legen.</w:t>
      </w:r>
    </w:p>
    <w:p>
      <w:r>
        <w:rPr>
          <w:b/>
        </w:rPr>
        <w:t>E. 4</w:t>
      </w:r>
    </w:p>
    <w:p>
      <w:r>
        <w:t>Mit Schreiben vom 8. Mai 2002 warf die Klägerin der Beklagten die Verletzung des vertraglichen Konkurrenzverbotes, unlauteren Wettbewerb (Verletzung von Fabrikations- und Geschäfts¬geheimnissen der Klägerin durch Kopieren von Produktionsverfahren; Verwendung von Referenzen, die mit Produkten der Klägerin beliefert worden waren, für eigene Zwecke), die Verletzung von Urheberrechten der Klägerin durch Verwendung ihrer Produktebeschriebe, technischen Daten und Auswertungen sowie die Verletzung von Patent- und Markenrechten der Klägerin durch Verkauf der patentrechtlich geschützten Transformatorenabschirmung "T. M." vor (kläg.act. 9).</w:t>
      </w:r>
    </w:p>
    <w:p>
      <w:r>
        <w:rPr>
          <w:b/>
        </w:rPr>
        <w:t>E. 5</w:t>
      </w:r>
    </w:p>
    <w:p>
      <w:r>
        <w:t>Auf dieses Schreiben hin führten die Parteien Vergleichsgespräche. Die Meinungen über deren Resultat gehen allerdings auseinander: Während die Klägerin gewisse verbindliche Teilergebnisse behauptet, bezüglich welcher sie der Beklagten wiederum Vorstösse vorwirft, bestreitet die Beklagte bindende Ergebnisse.</w:t>
      </w:r>
    </w:p>
    <w:p>
      <w:r>
        <w:rPr>
          <w:b/>
        </w:rPr>
        <w:t>E. 6</w:t>
      </w:r>
    </w:p>
    <w:p>
      <w:r>
        <w:t>Mit Eingabe vom 19. November 2003 machte die Klägerin die vorliegende Klage beim Handelsgericht anhängig, wobei sie folgendes Rechtsbegehren stellte: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