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SG_KANTONSGERICHT FS.2023.20-EZE2 vom 16. Juli 2024</w:t>
      </w:r>
    </w:p>
    <w:p>
      <w:r>
        <w:t>Sg Kantonsgericht, 2024-07-16, DE</w:t>
      </w:r>
    </w:p>
    <w:p>
      <w:r>
        <w:rPr>
          <w:b/>
        </w:rPr>
        <w:t xml:space="preserve">Quelle: </w:t>
      </w:r>
      <w:r>
        <w:t>https://mcp.opencaselaw.ch/entscheid/sg_publikationen_FS.2023.20-EZE2</w:t>
      </w:r>
    </w:p>
    <w:p>
      <w:r>
        <w:t>FR: SG_KANTONSGERICHT FS.2023.20-EZE2 du 16 juillet 2024</w:t>
      </w:r>
    </w:p>
    <w:p>
      <w:r>
        <w:t>IT: SG_KANTONSGERICHT FS.2023.20-EZE2 del 16 luglio 2024</w:t>
      </w:r>
    </w:p>
    <w:p>
      <w:pPr>
        <w:pStyle w:val="Heading2"/>
      </w:pPr>
      <w:r>
        <w:t>Regeste</w:t>
      </w:r>
    </w:p>
    <w:p>
      <w:r>
        <w:t>Art. 276 Abs. 1 ZPO i.V.m. Art. 179 Abs. 1 ZGB, Art. 298d Abs. 1 ZGB: Das Scheidungsgericht kann im Rahmen von vorsorglichen Massnahmen einen Eheschutzentscheid abändern, wenn sich die Verhältnisse wesentlich und dauernd verändert haben, was vorliegend der Fall ist (E. III/1). Die Voraussetzungen für eine alternierende Obhut sind nicht erfüllt, insbesondere aufgrund der mangelhaften Kommunikations- und Kooperationsfähigkeit der Eltern, des Wunschs der sechzehnjährigen Tochter, beim Vater wohnen zu wollen, sowie der besseren Möglichkeit des Vaters, den zwölfjährigen Sohn in schulischer Hinsicht zu unterstützen (E. III/2). Berechnung des Kinder- und Ehegattenunterhalts (E. III/6-18). (Kantonsgericht, Einzelrichter im Familienrecht, 16. Juli 2024, FS.2023.20-EZE2 / FS.2023.21-EZE2).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A.__, geb. DD.MM.YY (nachfolgend: Ehefrau und Mutter) und B.__, geb. DD.MM.YY (nachfolgend: Ehemann und Vater), heirateten am DD.MM.2008 in K.__. Aus der Ehe sind die beiden Kinder C.__, geb. DD.MM.2007, und D.__, geb. DD.MM.2011, hervorgegangen. Am 3. September 2019 trennten sich die Ehegatten.</w:t>
      </w:r>
    </w:p>
    <w:p>
      <w:r>
        <w:rPr>
          <w:b/>
        </w:rPr>
        <w:t>E. 2</w:t>
      </w:r>
    </w:p>
    <w:p>
      <w:r>
        <w:t>Mit Eheschutzentscheid vom 17. Februar 2020 regelte der Familienrichter des Kreisgerichts L.__ das Getrenntleben (SF.2019.67-[…]). Dabei stellte er (unter anderem und soweit vorliegend relevant) die beiden Kinder in die alleinige Obhut der Ehefrau und setzte den vom Ehemann an die Ehefrau zu bezahlenden Kinds- und Ehegattenunterhalt fest. Die vom Ehemann dagegen erhobene Berufung hiess der Einzelrichter des Kantons- gerichts mit Entscheid vom 29. Juli 2020 teilweise gut und setzte den vom Ehemann an die Ehefrau zu bezahlenden Kinds- und Ehegattenunterhalt neu fest. Die Zuteilung der Obhut an die Ehefrau bestätigte er (FS.2020.8-EZE2 / ZV.2020.51-EZE2).</w:t>
      </w:r>
    </w:p>
    <w:p>
      <w:r>
        <w:rPr>
          <w:b/>
        </w:rPr>
        <w:t>E. 3</w:t>
      </w:r>
    </w:p>
    <w:p>
      <w:r>
        <w:t>Am 22. März 2022 reichte der Ehemann beim Kreisgericht L.__ eine Scheidungs- klage ein (IN.2022.35-[...]). Am 28. Dezember 2022 stellte er ein Gesuch um Erlass von vorsorglichen Massnahmen und beantragte eine Abänderung des Eheschutzentscheids vom 17. Februar 2020 bzw. 29. Juli 2020, zunächst lediglich hinsichtlich des Kinds- und Ehegattenunterhalts und schliesslich mit Anträgen vom 4. April 2023 auch hinsichtlich der Obhut der beiden Kinder (vi-act. 94 und 116). Am 30. Juni 2023 erliess der Familienrichter des Kreisgerichts L.__ folgenden Entscheid betreffend vorsorgliche Massnahmen im Scheidungsverfahren: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