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2016/66 vom 31. Januar 2018</w:t>
      </w:r>
    </w:p>
    <w:p>
      <w:r>
        <w:t>SG Gerichte, 2018-01-31, DE</w:t>
      </w:r>
    </w:p>
    <w:p>
      <w:r>
        <w:rPr>
          <w:b/>
        </w:rPr>
        <w:t xml:space="preserve">Quelle: </w:t>
      </w:r>
      <w:r>
        <w:t>https://mcp.opencaselaw.ch/entscheid/sg_publikationen_B_2016_66</w:t>
      </w:r>
    </w:p>
    <w:p>
      <w:r>
        <w:t>FR: SG_PUBLIKATIONEN B 2016/66 du 31 janvier 2018</w:t>
      </w:r>
    </w:p>
    <w:p>
      <w:r>
        <w:t>IT: SG_PUBLIKATIONEN B 2016/66 del 31 gennaio 2018</w:t>
      </w:r>
    </w:p>
    <w:p>
      <w:pPr>
        <w:pStyle w:val="Heading2"/>
      </w:pPr>
      <w:r>
        <w:t>Erwägungen</w:t>
      </w:r>
    </w:p>
    <w:p>
      <w:r>
        <w:rPr>
          <w:b/>
        </w:rPr>
        <w:t>E. 1</w:t>
      </w:r>
    </w:p>
    <w:p>
      <w:r>
        <w:t>(…).</w:t>
      </w:r>
    </w:p>
    <w:p>
      <w:r>
        <w:rPr>
          <w:b/>
        </w:rPr>
        <w:t>E. 2.1</w:t>
      </w:r>
    </w:p>
    <w:p>
      <w:r>
        <w:t>Streitig ist, ob die Vorinstanz im angefochtenen Entscheid zu Recht für die Steuerperiode 2014 eine unbeschränkte Steuerpflicht der Beschwerdeführerin im Kanton St. Gallen (Gemeinde X.) bejahte. Nach Art. 13 Abs. 1 StG sind natürliche Personen aufgrund persönlicher Zugehörigkeit steuerpflichtig, wenn sie ihren steuerrechtlichen Wohnsitz oder Aufenthalt im Kanton St. Gallen haben. Im interkantonalen Verhältnis steht gemäss bundesgerichtlicher Rechtsprechung zum Doppelbesteuerungsverbot die Besteuerung des Einkommens und Vermögens einer unselbständig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BGE 132 I 29 E. 4.1). Diese Regelung entspricht den Vorgaben in Art. © Kanton St.Gallen 2026 Seite 3/11</w:t>
      </w:r>
    </w:p>
    <w:p>
      <w:r>
        <w:t>Publikationsplattform St.Galler Gerichte</w:t>
      </w:r>
    </w:p>
    <w:p>
      <w:r>
        <w:rPr>
          <w:b/>
        </w:rPr>
        <w:t>E. 2.2</w:t>
      </w:r>
    </w:p>
    <w:p>
      <w:r>
        <w:t>Bei einem Wohnsitzwechsel innerhalb der Schweiz besteht die Steuerpflicht für das ganze laufende Steuerjahr in demjenigen Kanton, in welchem die Person am Ende der Steuerperiode ihren steuerrechtlichen Wohnsitz hat. Stichtag ist somit der 31. Dezember des Steuerjahres (Art. 68 StHG). Der Wechsel von einem alten zu einem neuen Wohnsitz ist dann vollzogen, wenn die Absicht des dauernden Verbleibs am neuen Wohnort tatsächlich gelebt wird und durch diesen Aufenthalt eine Verschiebung des Lebensmittelpunktes stattfindet. Der Lebensmittelpunkt bestimmt sich nach der Gesamtheit der objektiven, äusseren Umstände, aus denen sich die ideellen (Angehörige, Freundes- und Bekanntenkreis) und materiellen Lebensinteressen erkennen lassen. In Bezug auf die Beweislast gilt, dass steuerbegründende Tatsachen von der Steuerbehörde nachzuweisen sind, während den Steuerpflichtigen die Beweislast für Tatsachen trifft, die die Steuerschuld aufheben oder mindern. Die Steuerbehörde hat demnach den steuerrechtlichen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der steuerpflichtigen Person, den Nachweis für den von ihr behaupteten Lebensmittelpunkt ausserhalb des Kantons zu erbringen (BGer 2P.186/2004 vom 15. Februar 2005 E. 2.3).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(vgl. VerwGE B 2015/39 vom 26. Oktober 2016, E. 2.2, mit Hinweis auf BGer 2P.186/2004 vom 15. Februar 2005, E. 2.3, BGer 2P.203/2006 vom</w:t>
      </w:r>
    </w:p>
    <w:p>
      <w:r>
        <w:rPr>
          <w:b/>
        </w:rPr>
        <w:t>E. 3</w:t>
      </w:r>
    </w:p>
    <w:p>
      <w:r>
        <w:t>Abs. 2 des Bundesgesetzes über die Harmonisierung der direkten Steuern der Kantone und Gemeinden (SR 642.14, StHG) und lehnt sich weitgehend (vgl. BGE 138 II 300 E. 5.3) an den zivilrechtlichen Wohnsitzbegriff an (Art. 23 Abs. 1 des Schweizerischen Zivilgesetzbuches, SR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