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BZ.2007.23 vom 26. April 2001</w:t>
      </w:r>
    </w:p>
    <w:p>
      <w:r>
        <w:t>Sg Kantonsgericht, 2001-04-26, DE</w:t>
      </w:r>
    </w:p>
    <w:p>
      <w:r>
        <w:rPr>
          <w:b/>
        </w:rPr>
        <w:t xml:space="preserve">Quelle: </w:t>
      </w:r>
      <w:r>
        <w:t>https://mcp.opencaselaw.ch/entscheid/sg_publikationen_BZ.2007.23</w:t>
      </w:r>
    </w:p>
    <w:p>
      <w:r>
        <w:t>FR: SG_KANTONSGERICHT BZ.2007.23 du 26 avril 2001</w:t>
      </w:r>
    </w:p>
    <w:p>
      <w:r>
        <w:t>IT: SG_KANTONSGERICHT BZ.2007.23 del 26 aprile 2001</w:t>
      </w:r>
    </w:p>
    <w:p>
      <w:pPr>
        <w:pStyle w:val="Heading2"/>
      </w:pPr>
      <w:r>
        <w:t>Regeste</w:t>
      </w:r>
    </w:p>
    <w:p>
      <w:r>
        <w:t>Art. 7 lit. a und Art. 13 ZPO (sGS 961.2); Art. 83 Abs. 2, Art. 85a und Art. 88 Abs. 2 SchKG (SR 281.1). Die sachliche Zuständigkeit ist zwingend. Hieran vermag auch die Vereinigung zweier Verfahren nichts zu ändern. Zur Erhebung einer Aberkennungsklage ist der Betriebene, gegenüber welchem die Rechtsöffnung erteilt wurde, berechtigt. Nach einem Rückzug des Rechtsvorschlages fehlt die Aktivlegitimation. Auch die fälschlicherweise als Aberkennungsklage eingeleitete Feststellungsklage bewirkt den Stillstand der Frist zur Stellung des Fortsetzungsbegehrens. Sie ist als negative Feststellungsklage gemäss Art. 85a SchKG ev. als allgemeine negative Feststellungsklage an die Hand zunehmen. Auslegung einer Saldoklausel (Kantonsgericht St. Gallen, III. Zivilkammer, 8. August 2007, BZ.2007.23).</w:t>
      </w:r>
    </w:p>
    <w:p>
      <w:pPr>
        <w:pStyle w:val="Heading2"/>
      </w:pPr>
      <w:r>
        <w:t>Erwägungen</w:t>
      </w:r>
    </w:p>
    <w:p>
      <w:r>
        <w:rPr>
          <w:b/>
        </w:rPr>
        <w:t>E. 1</w:t>
      </w:r>
    </w:p>
    <w:p>
      <w:r>
        <w:t>Der vorliegenden Streitsache liegt im Wesentlichen folgender unbestrittener Sachverhalt zu Grunde: a) Die A-AG (Klägerin) verkaufte der B-AG (Beklagte) mit öffentlich beurkundetem Kaufvertrag vom 26. April 2001 das Restaurant E mit Nebengebäude. Die Eigentumsübertragung erfolgte am 8. Mai 2001. Ziffer 11 des Kaufvertrages lautet wie folgt (kläg. act. 3): " Die Käuferin ist über die laufende Planung der Überbauung des Grundstückes Nr. 173 orientiert. Die Käuferin erteilt hiermit der Verkäuferin den Auftrag, diese Planung weiterzubearbeiten bis zum Erhalt einer Baubewilligung. Über die Planungskosten rechnen die Vertragsparteien ausseramtlich ab. Die Käuferin verpflichtet sich hiermit ferner, die weiteren Aufträge, d.h. die Architektur-, Bauleitungs- und Generalunternehmerarbeiten sowie den Verkauf der Neubauten auf dem Grundstück Nr. 173 ausschliesslich der Verkäuferin zu vergeben." b) Nach klägerischer Darstellung hat die Klägerin den Gastrobetrieb Restaurant E bereits seit dem 1. November 1996 durch ihre eigene Gastrobetriebsabteilung gemietet (Klage vom 21. Aug. 2001, 4). Der im Recht liegende undatierte Mietvertrag weist die Klägerin als Vermieterin und das "Gasthaus E in der A-AG, Gastrobetriebe" als Mieterin aus. Gemäss deren Ziffer 8 trat die Vereinbarung am 1. November 1996 in Kraft und endete - vorbehältlich einer stillschweigenden Vertragsverlängerung - am 31. Oktober 2006. Der Mietzins beläuft sich gemäss Ziffer 11 (exklusive Nebenkosten) auf Fr. 6'000.- monatlich. Ziffern 4 und 5 mit der Überschrift "Ausbau, Einrichtungen und Inventar" lauten wie folgt (kläg. act. 4): "4) Der Vermieter überlässt dem Mieter das Mietobjekt im heutigen Zustand. Er übergibt ihm das vorhandene Grossinventar laut separater Aufstellung. Der Mieter ist sich bewusst, dass aus dem Grossinventar die Tische, Stühle und Bänke in einem derart schlechten Zustand sind, dass sie ersetzt werden müssten. Das alte Inventar geht entschädigungslos an den Mieter über. Der Vermieter überlässt es dem Mieter, diese weiterhin zu benützen oder auf seine Kosten zu ersetzen, abzuändern oder zu entfernen. Bei Beendigung des Mietvertrages muss der Vermieter das Grossinventar zum Schätzungswert des Wirteverbandes übernehmen oder dem Nachfolgemieter überbinden. Ebenso verhält es sich mit dem Kleininventar. 5) Wird bei Vertragsablauf der Mietervertrag nicht erneuert, so ist das Mietobjekt dem Vermieter im bestehenden Zustand zurückzugeben. Der Vermieter bewilligt dem Mieter den Umbau der Restaurationsräumlichkeiten auf eigene Rechnung. Der Mieter hat auf Antritt hin das Restaurant in ein Pub umgebaut, dies wurde vorgängig bewilligt. Diese Umbau- und Erweiterungskosten, inkl. techn. Installationen werden ausdrücklich vollumfänglich vom Mieter bezahlt. Ebenso die Fassadensanierung mit Beleuchtung. Der Mieter muss darauf bedacht sein, dass bestehende Installationen so gut wie möglich belassen und wieder verwendet werden. Grosse Änderungen sind dem Vermieter bekannt zu geben. (Dem Vermieter wird ein Plansatz des Umbaus ausgehändigt.) Nach Auflösung des Vertrages übernimmt der Vermieter diese Investitionen gemäss Abrechnung, minus Altersentwertung. Sollte der Mieter während der Vertragsdauer einen Nachmieter erbringen muss er diese Kosten direkt einverlangen. Sollte es sich zeigen, dass der Pub-Betrieb an einen Drittpächter während der Vertragsdauer abgegeben wird, so kann der Vermieter die Investitionskosten von demselben verlangen." c) Am 29. April 2005 schlossen die Parteien des vorliegenden Rechtsstreites sowie weitere Beteiligte eine Vereinbarung zum Zweck der Liquidation aller gegenseitigen Forderungen und Schulden (bekl. act. 1, S. 2; Klageantwort vom 8. Sept. 2006, 4; Replik vom 2. Okt. 2006 [vi act. 7], 4). Ziffer 3 lit. a dieser Vereinbarung lautet wie folgt (bekl. act. 1, S. 4): "Die A-AG verpflichtet sich, den ab 1. September 2004 nicht bezahlten Mietzins für die Liegenschaft E (per Anfang Mai 2005 ausstehend, red. Mietzins von monatlich Fr. 4'000.-, somit netto Fr. 36'000.-) nachzuzahlen und den monatlich vorauszahlbaren Mietzins von Fr. 6'000.- ab 1. Juni 2005 laufend und rechtzeitig zu bezahlen. Die A-AG verzichtet auf irgendwelche Ansprüche gegenüber der B-AG im Zusammenhang mit Mieterausbauten bzw. eingebautem Grossinventar bezüglich der Liegenschaft E bei Mietende (31. Oktober 2006); das diesbezügliche Eigentumsrecht von B-AG wird ausdrücklich anerkannt." In Ziffer 8 enthält die Vereinbarung eine Saldoklausel mit folgendem Wortlaut (bekl. act. 1, S. 6 f.): "Mit der Erfüllung dieser Vereinbarung sind die eingangs genannten Vertragsparteien sowie die mit Ihnen affilierten Firmen/Personen gegenseitig per Saldo aller Ansprüche auseinandergesetzt. Sei erklären ausdrücklich, auch keine Ansprüche an Dritte abgetreten zu haben." d) Die Klägerin anerkennt in ihrer Berufungsschrift, der Beklagten Mietzinse im Betrag von Fr. 90'000.- zu schulden (Berufung [act. B1], 4). Ihre Aberkennungsklagen begründet sie im Wesentlichen mit zur Verrechnung gestellten Gegenforderungen für nicht eingebautes (Gross-) Inventar (Berufung, 4).</w:t>
      </w:r>
    </w:p>
    <w:p>
      <w:r>
        <w:rPr>
          <w:b/>
        </w:rPr>
        <w:t>E. 2</w:t>
      </w:r>
    </w:p>
    <w:p>
      <w:r>
        <w:t>a) Die Klägerin leitete am 17. Januar 2006 Betreibung über den Betrag von Fr. 36'000.- nebst Zins zu 5% seit 5. Januar 2006 gegen die Beklagte ein (bekl. act. 3; Klageantwort vom 8. Sept. 2006, 3). Am 18. April 2006 stellte sie sodann ein Betreibungsbegehren über den Betrag von Fr. 18'000.- nebst Zins zu 5% seit 7. April 2006. Die Klägerin erhob in der Folge gegen beide Zahlungsbefehle Rechtsvorschlag, zog diese aber in den jeweiligen Rechtsöffnungsverfahren unter Vorbehalt der Aberkennungsklage wieder zurück (Klage vom 21. Aug. 2006, 2; Klage vom 11. Okt. 2006, 2). Das Kreisgerichtspräsidium schrieb demzufolge das Rechtsöffnungsverfahren über den Betrag von Fr. 36'000.- nebst Zins zu 5% seit 5. Januar 2006 sowie die Kosten des Zahlungsbefehls mit Entscheid vom 2. Mai 2006 als erledigt ab (kläg. act. 1). Desgleichen wurde das Rechtsöffnungsverfahren über den Betrag von Fr. 18'000.- nebst Zins zu 5% seit 7. April 2006 sowie die Kosten des Zahlungsbefehls mit Entscheid vom 6. Juni 2006 abgeschrieben (kläg. act. 1). b) Die Klägerin stellte am 22. Mai 2006 das Vermittlungsbegehren und beantragte in ihrem Rechtsbegehren die Aberkennung der in Betreibung gesetzten Forderung im Betrag von Fr. 36'000.- nebst Zinsen und Kosten. Die Streitsache blieb am Vorstand vom 21. Juni 2006 unvermittelt (kläg. act. 2). In der Folge reichte die Klägerin mit Eingabe vom 21. August 2006 Klage mit den eingangs wiedergegebenen Rechtsbegehren beim "Kreisgerichtspräsidium, Aufsichtsbehörde SchKG", ein (vi act. 1). c) Am 4. Juli 2007 gelangte die Klägerin wiederum an das Vermittleramt und beantragte die Aberkennung der in Betreibung gesetzten Forderung im Betrag von Fr. 18'000.- nebst Zinsen und Kosten. Nach dem Verzicht der Beklagten auf Teilnahme am Vermittlungsvorstand stellte das Vermittleramt am 11. August 2006 den Leitschein aus. Die Klägerin liess sodann mit Eingabe vom 11. Oktober 2006 Klage mit den hiervor genannten Rechtsbegehren beim "Kreisgerichtspräsidium " erheben. d) Nach der Durchführung eines doppelten Schriftenwechsels im Verfahren sowie eines einfachen Schriftenwechsels im andern Verfahren vereinigte der Kreisgerichtspräsident die beiden Verfahren mit Verfügung vom 31. Oktober 2006 (vi act. 10). In der Folge reichte die Klägerin mit Eingabe vom 10. November 2006 eine weitere Replik (vi act. 11) sowie am 20. November 2006 eine nachträgliche Eingabe ein (vi act. 13). Die Beklagte nahm zu diesen Eingaben in einer weiteren Duplik vom 27. November 2006 Stellung (vi act. 14). Die Hauptverhandlung wurde am 7. Dezember 2006 durchgeführt (vi act. 10). Mit dem gleichentags gefällten Entscheid wies die Vorinstanz die Aberkennungsklage ab und gewährte der Beklagten die Rechtsöffnung in den vorerwähnten Betreibungen. Die Gerichtskosten von Fr. 6'300.- wurden ausgangsgemäss der Klägerin auferlegt. Diese wurde im Weiteren dazu verpflichtet, die Beklagte mit Fr. 9'376.25 für deren Parteikosten zu entschädigen (vi act. 18).</w:t>
      </w:r>
    </w:p>
    <w:p>
      <w:r>
        <w:rPr>
          <w:b/>
        </w:rPr>
        <w:t>E. 3</w:t>
      </w:r>
    </w:p>
    <w:p>
      <w:r>
        <w:t>a) In erster Instanz hatte die Klägerin zunächst behauptet, die Beklagte habe den 1996 geschlossenen Mietvertrag zwischen ihr und dem Gasthaus E übernommen. Hierzu ist anzumerken, dass dieser Mietvertrag nie gültig zustande gekommen ist. Ein Vertrag setzt zwingend zwei Vertragsparteien voraus. Diese Voraussetzung war vorliegend nicht erfüllt. Die Klägerin führte nämlich selbst aus, dass Mieter und Vermieter bis zum Verkauf der Liegenschaft dasselbe Rechtssubjekt waren (Klageschrift vom 21. August 2006, 5). Ein Mietvertrag kam somit vor Abschluss des Kaufvertrages mit der Beklagten (Erw. I/1.a) nicht zustande. Dementsprechend konnte bei der Eigentumsübertragung auch kein Mietvertrag auf die Beklagte übergehen (vgl. Art. 261 OR). Dies anerkennt in ihrer Berufungsschrift nunmehr auch die Klägerin (Berufung, 9). Sie macht geltend, die Parteien hätten einen dem Mietvertrag von 1996 entsprechenden Vertrag geschlossen (Berufung, 8). Bevor zu prüfen ist, ob es zu einem entsprechenden Vertragsschluss der Parteien kam, ist zu untersuchen, ob nicht die Saldovereinbarung vom 29. April 2005 einer allfälligen Übernahme- und Entschädigungspflicht der Beklagten entgegensteht. Dass die geltend gemachte Verrechnungsforderung für (Gross-) Inventar erst nach dem 29. April 2005 entstanden sei, behauptet die Klägerin nicht. b) Die Klägerin geht davon aus, dass sie in der Vereinbarung vom 29. April 2005 lediglich auf Ansprüche im Zusammenhang mit Mieterausbauten und eingebautem Grossinventar verzichtet habe. Demgegenüber sei kein Verzicht hinsichtlich des nicht eingebauten (Gross-) Inventars erfolgt (Berufung, 4 f.). In ihrer Replik vom 23. Oktober 2006 macht die Klägerin überdies geltend, es sei lediglich ein Verzicht auf fällige Forderungen erfolgt (S. 6). Nach Auffassung der Klägerin ergibt sodann ein Vergleich des Entwurfes der Ziffer 3 lit. a mit dem unterzeichneten Text, dass kein vollumfänglicher Verzicht auf eine Entschädigung für das Inventar erfolgt sei (Replik vom 23. Okt. 2006, 7). Die Beklagte hält dem entgegen, dass gemäss Ziffer 8 der Vereinbarung ein umfassender Verzicht erfolgt sei (Klageantwort vom 8. Sept. 2006, 5; Duplik vom 26. Sept. 2006, 3). c) Mit ihrer Behauptung, es sei allen Beteiligten selbstverständlich gewesen, dass sich das gegenseitige Auf-Null-Stellen auf fällige Forderungen beschränken sollte, macht die Klägerin sinngemäss einen übereinstimmenden tatsächlichen Parteiwillen geltend. Allerdings offeriert sie zu dieser Behauptung keine Beweise (Replik vom 23. Oktober 2006, 6). Da diese Behauptung bestritten ist (vgl. die allgemeine Bestreitung der Beklagten z.B. Berufungsantwort, 2), hat sie als nicht bewiesen zu gelten. Mit ihren weiteren Ausführungen zu ihren Absichten ("Die Klägerin verzichtete ausdrücklich nicht generell auf Ansprüche für Inventar […].") behauptet die Klägerin demgegenüber keinen tatsächlichen übereinstimmenden Parteiwillen. Zu prüfen ist damit, welchen Inhalt der vertraglichen Vereinbarung der Parteien vom 29. April 2005 nach dem Vertrauensprinzip zuzumessen ist. Primäres Auslegungsmittel eines Vertrages ist dessen Wortlaut (GAUCH/SCHLUEP/SCHMID/REY, Schweizerisches Obligationenrecht, Allgemeiner Teil, 8. Aufl., Zürich et al. 2003, N 1206). Ergänzend können die Begleitumstände des Vertragsschlusses, das Verhalten der Parteien vor und nach Vertragsschluss, die Interessenlage und die Verkehrsauffassung herangezogen werden (GAUCH/SCHLUEP/SCHMID/REY, a.a.O., N 1212 ff.). Dem Wortlaut der Vereinbarung kann entgegen der Auffassung der Klägerin nicht entnommen werden, dass ihr Verzicht nur den Mieterausbau und das eingebaute Grossinventar betraf. In Ziffer 3 lit. a wird zwar einzig für den Mieterausbau und das eingebaute Grossinventar ein ausdrücklicher Verzicht statuiert (Erw. I/1.c). Jedoch enthält Ziffer 8 der Vereinbarung eine umfassende Saldoklausel (Erw. I/1.c). Diese erfasst ihrem Wortlaut zufolge sämtliche gegenseitigen Ansprüche. Aus Ziffer 3 lit. a kann somit nicht e contrario geschlossen werden, es sei eine allfällige Entschädigungspflicht für nicht eingebautes (Gross-) Inventar vom Verzicht ausgenommen worden. Vielmehr ist festzuhalten, dass selbst dann, wenn in Ziffer 3 lit. a nicht ausdrücklich auf eine Entschädigung für Mieterausbauten und eingebautes Grossinventar verzichtet worden wäre, ein solcher Verzicht gestützt auf Ziffer 8 anzunehmen wäre. Vor diesem Hintergrund ist es auch nicht von Bedeutung, dass der Entwurf der Ziffer 3 lit. a - nach Darstellung der Klägerin (Replik vom 23. Okt. 2006, 7; kläg. act. 12) - einen umfassenden Verzicht auf Entschädigung für Mieterausbauten und Inventar vorsah. Hätten die Parteien an einer Entschädigungspflicht festhalten wollen, so ist anzunehmen, dass sie diese wie auch die Pflicht zur Bezahlung der Mietzinse ausdrücklich statuiert hätten. Diese Auslegung erfährt ihre Stütze in dem im Ingress genannten Ziel der Vereinbarung, alle gegenseitigen Forderungen und Schulden zu liquidieren (bekl. act. 1, S. 2). Weiter fällt in Betracht, dass Ziffer 8 keine Beschränkung auf fällige Forderungen vorsieht. Dass eine solche gewollt war, erscheint angesichts des bereits erwähnten Zwecks der Vereinbarung nicht als wahrscheinlich. Jedenfalls musste die Beklagte nach Treu und Glauben nicht auf eine solche Beschränkung schliessen. d) Zusammenfassend ist damit festzuhalten, dass die Vereinbarung vom 29. April 2005 einen umfassenden Verzicht der Parteien auf gegenseitige Forderungen vorsieht. Dieser beschlägt auch die vorliegend von der Klägerin geltend gemachte Entschädigungsforderung für nicht eingebautes (Gross-) Inventar, da die Klägerin nicht geltend macht, ihre Forderung sei erst nach dem 29. April 2005 entstanden. Damit kann dahin gestellt bleiben, ob diese Forderung überhaupt besteht.</w:t>
      </w:r>
    </w:p>
    <w:p>
      <w:r>
        <w:rPr>
          <w:b/>
        </w:rPr>
        <w:t>E. 4</w:t>
      </w:r>
    </w:p>
    <w:p>
      <w:r>
        <w:t>In ihrer Klage erhob die Klägerin eine weitere Verrechnungsforderung für Bauleitungshonorar im Betrag von Fr. 6'323.95 für eine Parkplatz-Erstellung (Klage vom 21. Aug. 2006, 8). In ihrer Berufung erwähnt sie diese Forderung nicht mehr. Es ist damit nicht klar, ob sie an ihr festhält oder nicht. Allerdings ist die Frage nicht von Belang, da sich die Forderung - wie im Folgenden zu zeigen ist - als unbegründet erweist und damit ohnehin abzuweisen wäre, würde sie weiterhin geltend gemacht. a) Die Klägerin begründet ihre Verrechnungsforderung mit dem Umstand, dass ihr die Beklagte gemäss Ziffer 11 des Grundstückkaufvertrages vom 26. April 2001 den Auftrag erteilt habe, die laufende Planung zu übernehmen (Replik vom 23. Okt. 2006, 8). Sei reicht überdies eine Rechnung vom 25. Januar 2006 ein, mit welcher sie der Beklagten 10% der Baukosten von Fr. 58'773.- zuzüglich Mehrwertsteuer in Rechnung stellt (kläg. act. 12). Nach Darstellung der Beklagten stützt die Klägerin ihre Forderung auf eine Abtretungserklärung der H-AG vom 13. Januar 2006. Diese sei jedoch mangels Zeichnungsberechtigung des Unterzeichnenden nicht gültig zustande gekommen. Sodann sei die Forderung der H-AG gegenüber der Klägerin zwischenzeitlich untergegangen (Klageantwort vom 8. Sept. 2006, 5 ff.). b) Die von der Klägerin eingereichte Rechnung begründet keine Forderung. Sodann lässt sich diese auch nicht auf Ziffer 11 des Grundstückkaufvertrages stützen, wie die Klägerin behauptet. Ziffer 11 des Vertrages sieht zwar vor, dass die Beklagte der Klägerin den Auftrag erteilt, die Planung der Überbauung des Grundstücks bis zum Erhalt der Baubewilligung weiterzubearbeiten (Erw. I/1.a). Sodann verpflichtete sich die Beklagte in Ziffer 11 Abs. 2 des Grundstückkaufvertrages, der Klägerin die weiteren Aufträge zu übertragen (Erw. I/1.a). Dass es nach Abschluss des Kaufvertrages zu einer entsprechenden Auftragserteilung kam, wird jedoch nicht dargetan. Nach Darstellung der Klägerin fanden die fraglichen Arbeiten für den Parkplatz in der zweiten Hälfte des Jahres 2005 ausserhalb der Realisierung der MFH A und B statt (Klage vom 21. Aug. 2006, 8). Dass es sich bei den in Rechnung gestellten Arbeiten um die in Ziffer 11 Abs. 1 genannten Bauleitungsarbeiten für die Parzelle handelt, tut die Klägerin damit nicht dar. Sodann ist ihren Ausführungen zu entnehmen, dass der Parkplatz gebaut wurde (Replik vom 23. Okt. 2006, 8). Ziffer 11 Abs. 1 beschlägt jedoch lediglich Arbeiten bis zum Erhalt der Baubewilligung. c) Die klägerische Forderung lässt sich damit nicht auf Ziffer 11 des Grundstückkaufvertrages stützen. Einen anderen Forderungsgrund behauptet die Klägerin nicht. Ihre Forderung erweist sich damit als unbegründet.</w:t>
      </w:r>
    </w:p>
    <w:p>
      <w:r>
        <w:rPr>
          <w:b/>
        </w:rPr>
        <w:t>E. 5</w:t>
      </w:r>
    </w:p>
    <w:p>
      <w:r>
        <w:t>Nach dem Gesagten ist festzuhalten, dass sich die Verrechnungsforderungen der Klägerin als unbegründet erweisen. Die Klägerin anerkennt sodann ausdrücklich, der Beklagten Fr. 90'000.- zu schulden (Erw. I/1.d). Damit hat die in Betreibung gesetzte Forderung im Betrag von Fr. 54'000.- (Fr. 36'000.- + Fr. 18'000.-) nebst Zinsen und Kosten als anerkannt zu gelten. Die als negative ev. allgemeine Feststellungsklage entgegenzunehmende Klage ist demnach abzuweisen, soweit darauf eingetreten werden kann (vgl. oben Erw. II/3).</w:t>
      </w:r>
    </w:p>
    <w:p>
      <w:r>
        <w:rPr>
          <w:b/>
        </w:rPr>
        <w:t>E. 6</w:t>
      </w:r>
    </w:p>
    <w:p>
      <w:r>
        <w:t>Die Vorinstanz gewährte der Beklagten in Ziffer 2 ihres Entscheides für die in Betreibung gesetzten Beträge antragsgemäss definitive Rechtsöffnung. Da die Klägerin in ihrer Berufung die Aufhebung des vorinstanzlichen Entscheides beantragt, hat auch diese Dispositivziffer als angefochten zu gelten. Die Rechtsöffnung ist die gerichtliche Beseitigung der Wirkungen des Rechtsvorschlages (AMONN/GASSER, a.a.O., § 19 N 3). Es wurde hiervor bereits ausgeführt, dass die Klägerin ihre Rechtsvorschläge in den beiden Betreibungen des Betreibungsamtes zurückgezogen hat (Erw. I/2.a). Eine Rechtsöffnung kann somit mangels Rechtsvorschlags nicht erteilt werden. Auf das entsprechende Begehren ist nicht einzutreten.</w:t>
      </w:r>
    </w:p>
    <w:p>
      <w:r>
        <w:rPr>
          <w:b/>
        </w:rPr>
        <w:t>E. 7</w:t>
      </w:r>
    </w:p>
    <w:p>
      <w:r>
        <w:t>Der Entscheid des Kreisgerichts vom 7. Dezember 2006 ist daher aufzuheben und in der Sache im Sinne der Erwägungen ein reformatorischer Entscheid zu fällen.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