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BS.2012.1 vom 20. Juni 1999</w:t>
      </w:r>
    </w:p>
    <w:p>
      <w:r>
        <w:t>Sg Kantonsgericht, 1999-06-20, DE</w:t>
      </w:r>
    </w:p>
    <w:p>
      <w:r>
        <w:rPr>
          <w:b/>
        </w:rPr>
        <w:t xml:space="preserve">Quelle: </w:t>
      </w:r>
      <w:r>
        <w:t>https://mcp.opencaselaw.ch/entscheid/sg_publikationen_BS.2012.1</w:t>
      </w:r>
    </w:p>
    <w:p>
      <w:r>
        <w:t>FR: SG_KANTONSGERICHT BS.2012.1 du 20 juin 1999</w:t>
      </w:r>
    </w:p>
    <w:p>
      <w:r>
        <w:t>IT: SG_KANTONSGERICHT BS.2012.1 del 20 giugno 1999</w:t>
      </w:r>
    </w:p>
    <w:p>
      <w:pPr>
        <w:pStyle w:val="Heading2"/>
      </w:pPr>
      <w:r>
        <w:t>Regeste</w:t>
      </w:r>
    </w:p>
    <w:p>
      <w:r>
        <w:t>Art. 6 Abs. 1 lit. d EG-ZPO (sGS 961.2); Art. 308 ZPO (SR 272); Art. 518 ZGB (SR 210). Aufsichtsbeschwerde gegen den Willensvollstrecker. Ist nach kantonalem Recht eine gerichtliche Behörde zuständig, richtet sich das Verfahren nach der Schweizerischen Zivilprozessordnung. Der Entscheid der Aufsichtsbehörde kann mit Berufung angefochten werden. Der Willensvollstrecker ist verpflichtet, auf Verlangen jedem Erben einzeln und persönlich Auskunft zu erteilen. Nebst der Einsicht in Unterlagen kann der Erbe die Abgabe von Kopien beanspruchen (Kantonsgericht St. Gallen, Einzelrichterin im Personen-, Erb- und Sachenrecht, 11. April 2012, BS.2012.1).</w:t>
      </w:r>
    </w:p>
    <w:p>
      <w:pPr>
        <w:pStyle w:val="Heading2"/>
      </w:pPr>
      <w:r>
        <w:t>Erwägungen</w:t>
      </w:r>
    </w:p>
    <w:p>
      <w:r>
        <w:rPr>
          <w:b/>
        </w:rPr>
        <w:t>E. 1</w:t>
      </w:r>
    </w:p>
    <w:p>
      <w:r>
        <w:t>a)   Der Beschwerdegegner anerkennt, dass er gegenüber den Erben eine Auskunftspflicht hat. Er ist aber der Meinung, er sei dieser Pflicht längstens nachgekommen, und zwar sowohl in Bezug auf die Nachlassrechnungen als auch in Bezug auf seine Honorarrechnungen. Er habe der Mutter der Beschwerdeführerin - als Vertreterin der Erbengemeinschaft - alle relevanten Unterlagen zur Verfügung gestellt. Die Vergütungsaufträge mit den Rechnungen habe er jeweils der Bank E gesandt, welche diese an deren Sitz in Hongkong weitergeleitet und dort mit G besprochen habe. Überdies habe er den Rechtsvertreter der Beschwerdeführerin am 24. Mai 2011 ermächtigt, die entsprechenden Belege direkt bei der Bank E einzufordern. Da die Bank E im Gegensatz zu ihm bereits über ein elektronisches Dossier verfügt hätte, sei dieses Vorgehen sinnvoll gewesen (Berufung, S. 4 ff.). Die Beschwerdeführerin bestreitet, dass der Beschwerdegegner seinen Auskunftspflichten gegenüber ihr nachgekommen sei. Entsprechende Nachweise würden fehlen. Es sei irrelevant, was der Beschwerdegegner allenfalls ihrer Mutter vorgelegt habe. Sie habe als Erbin ein eigenes Recht auf Information und Auskunft durch den Willensvollstrecker. Der Anspruch bestehe zudem direkt gegen den Willensvollstrecker. Dieser könne seine Auskunftspflicht nicht an Dritte wie die Bank E delegieren. Sie beharre darauf, vom Beschwerdegegner die Buchhaltungsunterlagen zur Einsicht oder in Kopie zu erhalten (Berufungsantwort, S. 3; Stellungnahme der Beschwerdeführerin vom 28. September 2011, S. 4 f.). b)   Der Willensvollstrecker hat alle Erben von sich aus auf dem Laufenden zu halten und aufzuklären, so insbesondere periodisch über sein Vorgehen und die wesentlichen Stationen der Nachlassabwicklung zu informieren (Christ/Eichner, a.a.O., Art. 518 N 33; BSK ZGB II-Karrer/Vogt/Leu, Art. 518 N 17). Überdies hat der Willensvollstrecker gegenüber den Erben eine Auskunftspflicht, wobei jeder einzelne (einzeln) Auskunft verlangen kann. Die Auskunftspflicht ist verletzt, wenn der Willensvollstrecker eine Auskunft verweigert und einen Erben stattdessen an das Erbschaftsamt, an die übrigen Erben oder eine Bank verweist (Künzle, a.a.O., N 217 zu Art. 517-518 ZGB mit zahlreichen Hinweisen; BSK ZGB II-Karrer/Vogt/Leu, Art. 518 N 17). Zu Recht hat die Vorinstanz festgehalten, dass die Beschwerdeführerin einen eigenen Informationsanspruch habe (vi-Entscheid, S. 5). Irrelevant ist daher das Vorbringen des Beschwerdegegners, er habe der Mutter der Beschwerdeführerin alle relevanten Unterlagen zur Verfügung gestellt (Berufung, S. 4). Auch kann sich der Beschwerdegegner seiner Informationspflicht nicht mit dem Hinweis entschlagen, er habe den Rechtsvertreter der Beschwerdeführerin ermächtigt, die entsprechenden Belege direkt bei der Bank E einzufordern (Berufung, S. 5). Der Beschwerdegegner ist demnach zu verpflichten, der Beschwerdeführerin die von ihr verlangten Auskünfte persönlich zu erteilen.</w:t>
      </w:r>
    </w:p>
    <w:p>
      <w:r>
        <w:rPr>
          <w:b/>
        </w:rPr>
        <w:t>E. 2</w:t>
      </w:r>
    </w:p>
    <w:p>
      <w:r>
        <w:t>a)   Der Beschwerdegegner ist der Ansicht, das von ihm gewählte Vorgehen - den Rechtsvertreter der Beschwerdeführerin zu ermächtigen, die Belege direkt bei der Bank E einzufordern - hätte insofern Sinn gemacht, als die Bank E im Gegensatz zu ihm bereits ein "elektronisches Dossier" habe. Er hätte dagegen die Belege einzeln kopieren oder einscannen müssen, was teurer und als Folge der menschlichen Unzulänglichkeit unzuverlässiger wäre. Er habe ferner keine Veranlassung gehabt, dem Rechtsvertreter der Beschwerdeführerin Kopien aller Belege zukommen zu lassen, ausser der Rechtsvertreter der Beschwerdeführerin hätte offeriert, was nicht der Fall gewesen sei, die nicht unerheblichen Kosten vorzuschiessen (Berufung, S. 5 ff.; kläg.act. 20). Die Beschwerdeführerin entgegnet, aus unerklärlichen Gründen habe der Beschwerdegegner keine Nachlassbuchhaltung geführt, obwohl es sich um einen Nachlass von ca. USD 30 Millionen handle und der Nachlass Grundstücke und Gesellschaften im Ausland umfasse. Nachdem der Beschwerdegegner diese evidente Pflicht vernachlässigt habe, könne er ihren Informationsanspruch nur befriedigen, indem er ihr sämtliche Belege zum Nachlass zur Verfügung stelle. Selbstverständlich seien Kopien oder ein elektronisches Dossier ausreichend (Berufungsantwort, S. 4). b)   Grundsätzlich ist das Auskunftsrecht umfassend. Der Willensvollstrecker hat den Erben auf ihre Anfragen über alle Umstände Auskunft zu erteilen, die mit dem Nachlass zusammenhängen. Mangelnde oder mangelhafte Auskünfte des Willensvollstreckers stellen eine Pflichtverletzung dar und können zu Schadenersatzansprüchen führen (Künzle, a.a.O., N 217 zu Art. 517-518 ZGB; vgl. auch BSK ZGB II-Karrer/Vogt/Leu, Art. 518 N 17; Christ/Eichner, a.a.O., Art. 518 N 34; ZR 91-92 1992-93, Nr. 64 E. IV.3c S. 241). Nebst der Einsicht in Unterlagen kann der Erbe zudem die (entgeltliche) Abgabe von Kopien beanspruchen (Künzle, a.a.O., N 220 zu Art. 517-518 ZGB; ZR 91-92 1992-93, Nr. 64 E. IV.3d [S. 241] und h [S. 243]). Der Beschwerdegegner bringt vor, er habe keine Erbschaftsbuchhaltung geführt; es seien nur die entsprechenden Belege gesammelt worden und es bestehe eine saubere Ordnung in den Belegen (Stellungnahme des Beschwerdegegners vom 25. August 2011, S. 14 und 17; vgl. auch kläg.act. 20). Daraus ist zu schliessen, dass die Belege vorhanden sind. Zum Umfang der Belege äussert sich der Beschwerdegegner nicht. Die Beschwerdeführerin verlangt nicht nur die Einsichtnahme, sondern die Herausgabe der Belege (Beschwerde, S. 2, Rechtsbegehren Ziffer 1a). Da das Recht auf Akteneinsicht das Recht auf Anfertigung von Kopien dieser Unterlagen einschliesst, ist die Beschwerdeführerin grundsätzlich berechtigt, die Herausgabe sämtlicher Buchhaltungsbelege betreffend den Nachlass zu verlangen. In Bezug auf die Form, in welcher die Herausgabe zu erfolgen hat, erklärt die Beschwerdeführerin, Kopien seien ausreichend, auch ein elektronisches Dossier auf einem USB-Stick würde genügen (Stellungnahme der Beschwerdeführerin vom 28. September 2011, S. 5; Berufungsantwort, S. 4). Es ist dem Beschwerdegegner überlassen, ob er der Beschwerdeführerin Kopien der Belege oder die entsprechenden Daten in elektronischer Form zukommen lassen will. Der Einwand des Beschwerdegegners, er müsse die Belege einzeln kopieren oder einscannen (Berufung, S. 5), ist nicht zu hören. Es steht ihm auch frei, allenfalls auf das angeblich bei der Bank E vorhandene elektronische Dossier zurückzugreifen und es unter eigener Verantwortung an die Beschwerdeführerin weiterzuleiten. Zudem sind die Umtriebe, die das Willensvollstreckermandat mit sich bringt, zwangsläufig hinzunehmen und belasten letztlich den Nachlass (ZR 91-92 1992-93, Nr. 64 E. IV.3d S. 241). Da der Willensvollstrecker verpflichtet ist, den Erben umfassende Auskunft zu erteilen, ist es ohne Belang, dass das Bereitstellen der Belege für den Beschwerdegegner mit einem gewissen Arbeitsaufwand und Kosten verbunden ist. Dass das Begehren unter den gegebenen Umständen rechtsmissbräuchlich wäre, ist weder dargetan noch ersichtlich. Der Beschwerdegegner ist damit - in Übereinstimmung mit dem erstinstanzlichen Entscheid (vi-Entscheid, S. 6 und S. 9) - anzuweisen, der Beschwerdeführerin sämtliche Buchhaltungsbelege betreffend den Nachlass herauszugeben, und zwar nach seiner Wahl entweder als Kopien oder in elektronischer Form.</w:t>
      </w:r>
    </w:p>
    <w:p>
      <w:r>
        <w:rPr>
          <w:b/>
        </w:rPr>
        <w:t>E. 3</w:t>
      </w:r>
    </w:p>
    <w:p>
      <w:r>
        <w:t>a)   Der Beschwerdegegner rügt schliesslich, die Vorinstanz unterstelle ihm, er habe erst anlässlich des Verfahrens detaillierte Honorarabrechnungen eingereicht; dies sei eine aktenwidrige tatsächliche Annahme. Zu beachten sei, dass die Beschwerdeführerin Honorarabrechnungen eingereicht und dass sich Dr. K, damaliger Vertreter der Beschwerdeführerin, mit den Abrechnungen detailliert auseinandergesetzt habe. Unter diesen Umständen könne nicht gesagt werden, er hätte die Gegenstandslosigkeit des vorinstanzlichen Verfahrens zu verantworten und habe deshalb die Prozesskosten zu tragen (Berufung, S. 7 f.). Die Beschwerdeführerin betont, sie habe vom Beschwerdegegner nie Honorarabrechnungen erhalten. Sie habe einzelne Honorarrechnungen von ihrer Mutter erhalten, welche sie ihrer Beschwerdeschrift beigelegt habe. Diese Belege seien aber nicht vollständig. Insbesondere klaffe eine Lücke zwischen den Jahren 2003 und 2011, in welcher mutmasslich weitere Bezüge erfolgt seien. Auch hier gelte, dass sie einen eigenen und direkten Anspruch gegenüber dem Willensvollstrecker auf Erhalt der Honorarrechnungen habe. Trotz Aufforderung habe der Beschwerdegegner die entsprechenden Belege nicht ausgehändigt. Damit sei klar, dass dieser die Gegenstandslosigkeit verursacht habe (Berufungsantwort, S. 4 f.; Beschwerde, S. 4 f.; kläg.act. 5 bis 12). b)   Bei längerdauerndem Mandat hat der Willensvollstrecker den Erben in der Regel einen jährlichen Rechenschaftsbericht über den Stand des Nachlasses sowie eine detaillierte Honorarabrechnung über seine bisherigen Bemühungen zu erstatten (Karrer/Vogt/Leu, a.a.O., Art. 517 N 32 und Art. 518 N 17; Künzle, a.a.O., N 407 ff. zu Art. 517-518; vgl. auch Christ/Eichner, a.a.O., Art. 517 N 36, welche jedoch die Ansicht vertreten, ob und wann Zwischenabrechnungen vorzulegen seien, hänge von den Erfordernissen des Einzelfalls ab). Am 14. März 2011 teilte die Beschwerdeführerin dem Beschwerdegegner mit, es sei unzulässig, zusätzlich zum Honorar von Fr. 350.- pro Stunde eine Prozentgebühr zu erheben, und forderte ihn auf, Fr. 200'000.- an den Nachlass zurückzuzahlen. Sollte er diesem Ersuchen nicht entsprechen, seien die bisherigen Bemühungen und sämtliche bisherigen Bezüge detailliert abzurechnen (kläg.act. 13). Mit Schreiben vom 7. April 2011 forderte die Beschwerdeführerin den Beschwerdegegner erneut auf, ihr bis 15. April 2011 eine detaillierte Rechnungslegung zum Honorar mit Belegen zukommen zu lassen (kläg.act. 15). Am 27. April 2011 verlängert sie diese Frist zufolge Auslandabwesenheit des Beschwerdegegners bis 9. Mai 2011 (kläg.act. 16; vgl. auch kläg.act. 18 [Email vom 6. Mai 2011] und kläg.act. 19 [Schreiben vom 16. Mai 2011]). Der Beschwerdegegner stellte sich demgegenüber auf den Standpunkt, seine bisherigen Abrechnungen und Bezüge seien abgesprochen und genehmigt worden (kläg.act. 14, 17 und 20). Da der Willensvollstrecker der Aufforderung der Beschwerdeführerin, eine detaillierte Abrechnung vorzulegen, nicht nachkam, stellte diese in ihrer Beschwerde vom 31. Mai 2011 die Anträge, der Beschwerdegegner habe ihr über seine sämtlichen (Akonto-) Bezüge aus dem Nachlass umfassend Auskunft zu geben und diese zu belegen (Antrag Ziffer 1b) sowie eine detaillierte Honorarabrechnung zu erstellen und ihr zu übergeben (Antrag Ziffer 1c). In seiner Stellungnahme vom 25. August 2011 listete der Beschwerdegegner die von ihm gestellten Rechnungen auf und reichte die entsprechenden Belege ein (S. 5; bekl.act. 7 bis 15), worauf die Beschwerdeführerin in ihrer Eingabe vom 28. September 2011 erklärte, die entsprechenden Anträge seien gegenstandslos geworden und könnten abgeschrieben werden (S. 3 f.). Es steht damit fest, dass der Beschwerdegegner seine Auskunftspflicht betreffend seine Honorarrechnungen erst im Verlaufe des erstinstanzlichen Verfahrens erfüllt hat. Zu Recht ist die Vorinstanz daher bei der Verteilung der Prozesskosten davon ausgegangen, der Beschwerdegegner habe die Gegenstandslosigkeit der Anträge Ziffer 1b und 1c zu verantworten (vi-Entscheid, S. 7) und auferlegte ihm die Prozesskosten. 4.   In der Berufungsschrift verweist der Beschwerdegegner "vorsorglich noch auf act. 12, Ziff. 7 bis 10, Seiten 7 bis 9" (Berufung, S. 8). In den erwähnten Ziffern des vi-act. 12, Stellungnahme des Beschwerdegegners vom 25. August 2011, thematisiert dieser die in Ziffer 6 des Testaments enthaltene Auflage und kommt zum Schluss, die Beschwerde diene offenbar dazu, ihn abzusetzen, damit die vom Rechtsvertreter der Beschwerdeführerin aufgesetzte Zusatzvereinbarung ohne seine notwendige Mitwirkung vollzogen werden könne. Die Beschwerde erweise sich damit auch unter diesem Gesichtspunkt als rechtsmissbräuchlich (Stellungnahme vom 25. August 2011, S. 7 ff.). Die Vorinstanz erwog, vorliegend sei ein offenbarer Rechtsmissbrauch weder substantiiert dargelegt noch erkennbar (vi-Entscheid, S. 6 f.). Nach Art. 311 ZPO ist die Berufung begründet einzureichen. Die Begründung eines Rechtsmittels erklärt, weshalb der erstinstanzliche Entscheid in den angefochtenen Punkten unrichtig sein soll (Reetz/Theiler, a.a.O., Art. 311 N 36). Der Verweis des Beschwerdegegners auf seine erstinstanzliche Eingabe ist damit nicht ausreichend. Zudem wäre der Beschwerdegegner, nachdem bereits die Vorinstanz (zu Recht) ausgeführt hat, eine substantiierte Darlegung des Rechtsmissbrauchs fehle, gehalten gewesen, im Einzelnen zu erläutern, weshalb das Auskunftsbegehren der Beschwerdeführerin rechtsmissbräuchlich sein soll. 5.   Damit bleibt es beim vorinstanzlichen Entscheid mit der Präzisierung im Dispositiv, dass die Belege nach Wahl des Beschwerdegegners in Kopie herauszugeben oder in elektronischer Form zugänglich zu machen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