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BO.2020.51 vom 1. Januar 2017</w:t>
      </w:r>
    </w:p>
    <w:p>
      <w:r>
        <w:t>Sg Kantonsgericht, 2017-01-01, DE</w:t>
      </w:r>
    </w:p>
    <w:p>
      <w:r>
        <w:rPr>
          <w:b/>
        </w:rPr>
        <w:t xml:space="preserve">Quelle: </w:t>
      </w:r>
      <w:r>
        <w:t>https://mcp.opencaselaw.ch/entscheid/sg_publikationen_BO.2020.51</w:t>
      </w:r>
    </w:p>
    <w:p>
      <w:r>
        <w:t>FR: SG_KANTONSGERICHT BO.2020.51 du 1 janvier 2017</w:t>
      </w:r>
    </w:p>
    <w:p>
      <w:r>
        <w:t>IT: SG_KANTONSGERICHT BO.2020.51 del 1 gennaio 2017</w:t>
      </w:r>
    </w:p>
    <w:p>
      <w:pPr>
        <w:pStyle w:val="Heading2"/>
      </w:pPr>
      <w:r>
        <w:t>Regeste</w:t>
      </w:r>
    </w:p>
    <w:p>
      <w:r>
        <w:t>Art. 322, Art. 322d OR (SR 220): Qualifikation einer im Arbeitsvertrag vereinbarten variablen Vergütung als Gratifikation oder als Teil des Lohnes (Kantonsgericht, III. Zivilkammer, 27. Mai 2022, BO.2020.51)</w:t>
      </w:r>
    </w:p>
    <w:p>
      <w:pPr>
        <w:pStyle w:val="Heading2"/>
      </w:pPr>
      <w:r>
        <w:t>Volltext</w:t>
      </w:r>
    </w:p>
    <w:p>
      <w:r>
        <w:t>Sachverhalt (Zusammenfassung): Der Kläger war bis Ende 2016 für die Zweigniederlassung der Gesellschaft E.___ tätig, die durch eine andere Gesellschaft (C.-Ltd.) übernommen wurde. Der Kläger trat in diesem Zusammenhang per 1. Januar 2017 zur C.-GmbH (Beklagte) über, einer weiteren Gesellschaft aus der Gruppe der Käuferin. Die Parteien schlossen am 6./7. März 2017 einen neuen Arbeitsvertrag, in welchem sich u.a. folgende Klausel findet: Variable component:       The target incentive level will be set at 25% of Annual Base salary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Dem Kläger wurde aber in seiner Mitarbeiterbeurteilung für das Jahr 2017 eine hervorragende Leistung bescheinigt. Er machte in der Folge teilklageweise eine Forderung von Fr. 30'000.00 geltend, und stellte sich auf den Standpunkt, bei der hiervor zitierten Vertragsklausel handle es sich um einen festen Lohnbestandteil. Die Vorinstanz schützte die Klage. Aus den Erwägungen: III. […] 2.       In der Sache dreht sich der Streit zunächst um die Frage, ob die im Arbeitsvertrag vom 6./7. März 2017 vereinbarte variable Komponente ("Variable component") als Gratifikation i.S.v. Art. 322d OR oder als Teil des Lohnes i.S.v. Art. 322 OR zu qualifizieren ist. Während sich die Beklagte auch in ihrer Berufung auf den Standpunkt stellt, es handle sich dabei um eine gänzlich freiwillige Leistung, eine sog. echte Gratifikation, erblickt der Kläger darin nach wie vor einen festen variablen Lohnbestandteil. Hingegen ist zu Recht unbestritten, dass die variable Komponente – sollte sie als (echte) Gratifikation zu qualifizieren sein – gegenüber dem Jahres-/Monatsgehalt ("Annual/monthly Salary") akzessorischen Charakter aufweist (vgl. dazu BGE 142 III 381 E. 2.2.1 f.; BGE 141 III 407 E. 4.3.1 und 5; BGer 4A_155/‌2019 E. 4.1 f.), weshalb auf diese Thematik nicht weiter einzugehen ist. a)      Nach der bundesgerichtlichen Rechtsprechung muss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dann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des Klägers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des Klägers per 1. April 2017 und 1. April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Komponente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25% des Jahresgrundgehalts, ja theoretisch sogar null Franken betragen könne. Davon ist auszugehen. Uneinig sind sich die Parteien in der Frage, ob und inwieweit der Beklagten bei der so zu berechnenden variablen Komponente ein Ermessen zukommen sollte, ob überhaupt nicht (Standpunkt des Klägers), ob in der Höhe (Eventualstandpunkt des Klägers)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Vertragsschluss Die E.___, bei welcher der Kläger ab 1. Januar 2012 tätig war, wurde von der C.___-Ltd. übernommen. Im Hinblick darauf vereinbarten die E.___, die Beklagte und der Kläger mit "Amendment to the employment contract" vom 25./26. und 29. Au­gust 2016 u.a., dass der spätestens bis 31. Dezem­ber 2016 abzuschliessende neue Arbeitsvertrag zwischen dem Kläger und der Beklagten Bonusmöglichkeiten vorsehe, die in der Summe nicht ungünstiger seien als jene bei der E.___. Im Arbeitsvertrag zwischen dem Kläger und der E.___ vom 13. Dezember 2011 hatten die Parteien für Zahlungen aus der Teilnahme an einem Bonus-/Anreiz­pro­gramm ausdrücklich auch im Grundsatz Freiwilligkeit vorbehalten (E.___-Arbeitsvertrag, S. 2 Ziff. 3.2: "Participation in any Bonus/‌Incentive Programme by the Employee remains in the discretion of Actavis and so do any payments made under such Bonus/Incentive Programme. Previous or continuous payments under such Bonus/‌Incentive Programme do not constitute legal entitlement to any future payment"; vgl. ferner den Vorbehalt auf der Lohnabrechnung März 2016 für den Bonus 2015 sowie BGer 4A_280/2020 E. 5.3). Die Beklagte war aus der tripartiten Vereinbarung mithin nicht verpflichtet, dem Kläger im neuen Arbeitsvertrag einen zusätzlichen variablen Lohnbestandteil oder einen festen Anspruch auf eine Gratifikation einzuräumen. bb)    Erklärungen bei Vertragsschluss und Vertragswortlaut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was – im Hinblick auf die rechtliche Qualifikation – ein Indiz für einen variablen Lohnbestandteil und/oder eine unechte Gratifikation sein könnte. Dass die entsprechenden Ziele im Arbeitsvertrag nicht vordefiniert wurden, spricht dabei nicht zwingend gegen eine Qualifikation als variabler Lohnbestandteil,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Die für den Titel der fraglichen Vertragsbestimmung gewählte Formulierung "Variable component", worunter man variable Lohnkomponente verstehen könnte, deutet sogar eher auf einen solchen, gewollt ermessensunabhängigen, variablen Lohnbestandteil hin. Die Vorinstanz stellte allerdings weiter auch fest, dass die Beklagte dem Kläger den Arbeitsvertrag zusammen mit dem Schreiben "Summary of C.___ offer details" vom 6. März 2017 (nachfolgend Zusammenfassung) zur Unterschrift zustellte. Der Kläger kritisiert diese Sachverhaltsfeststellung – anders als andere Feststellungen der Vorinstanz – in seiner Berufungsantwort nicht, obwohl die Beklagte im Rahmen ihrer Berufung wesentlich auf die Zusammenfassung abstellt und obwohl auch der Berufungsbeklagte, der vor erster Instanz obsiegte, gehalten ist, allfällige ihm nachteilige Sachverhaltsfeststellungen zu rügen (BGer 4A_496/‌2016 E. 2.2.2; BGer 5A_660/‌2014 E. 4.2; […]). Der Empfang ist daher als gegeben zu betrachten. In der fraglichen Zusammenfassung hatte die Beklagte nun aber erklärt, dass die Teilnahme des Arbeitnehmers an einem Bonus-/Incentive-Pro­gramm ebenso wie alle Zahlungen aus einem solchen im Ermessen von C.___ verbleibe ("Participation in any Bonus/‌Incentive Programme by the Employee remains in the discretion of C.___ and so do any payments made under such Bonus/‌lncentive programme") und frühere oder fortlaufende Zahlungen im Rahmen eines solchen Bonus-/Anreizprogramms keinen Rechtsanspruch auf zukünftige Zahlungen begründeten ("Previous or continuous payments under such Bonus/‌Incentive Programme do not constitute legal entitlement to any future payment"). Damit bezog sie sich, wie sich dem ersten Satz entnehmen lässt ("The Bonus/‌Incentive target will be 25% of the basic gross salary"), unverkennbar auf die fragliche Vertragsklausel und wiederholte wörtlich die dem Kläger bereits aus dem E.___-Arbeitsvertrag bekannten Ermessens- und Freiwilligkeitsvorbehalte. Entgegen der Vor­instanz spielt es keine Rolle, dass der Kläger die Zusammenfassung nicht unterzeichnete. Entscheidend ist vielmehr, dass die Beklagte den Kläger damit über die Details ihres Vertragsangebots, mithin ihr Verständnis der im Arbeitsvertrag enthaltenen Punkte informierte, und aus dem Umstand, dass der Kläger den Arbeitsvertrag in der Folge am 7. März 2017 (vorbehaltlos) unterzeichnete – es ist nicht bekannt, dass über die Bonusberechtigung weitere Diskussionen stattfanden –, auf seinen tatsächlichen Willen zu schliessen ist, das durch die Zusammenfassung definierte Angebot der Beklagten anzunehmen. Selbst wenn er die entsprechende Zusammenfassung nicht besonders sorgfältig gelesen oder nicht richtig verstanden hätte, und sein tatsächlicher Wille ein anderer gewesen wäre, durfte die Beklagte unter den gegebenen Umständen das Verhalten des Klägers nach Treu und Glauben als Zustimmung dazu werten, dass die Teilnahme an einem Bonus-/An­reiz­programm sowie allfällige Zahlungen aus einem solchen Programm in ihrem (freien) Ermessen verbleibe. cc)     nachträgliches Parteiverhalten Daraus, dass die Beklagte gemäss den insofern unangefochtenen Feststellungen der Vorinstanz nicht nur das Jahresgrundgehalt, sondern auch einen (Mindest-)Bonusanteil von weiteren 25% des Jahresgrundgehalts bei der Pensionskasse mitversichern liess, lässt sich entgegen der Auffassung des Klägers nicht auf einen anderen als den in der Angebotszusammenfassung zum Ausdruck gebrachten Willen der Beklagten schliessen. Die Beklagte weist zu Recht darauf hin, dass gemäss Ziff. 12.1 Abs. 1 des Vorsorgereglements als Jahreslohn der letztbekannte AHV-Lohn unter Berücksichtigung der für das laufende Jahr bereits vereinbarten Änderungen gelte. Der Begriff "Lohn" gemäss Art. 322 f. OR und der "mutmassliche AHV-Lohn" haben nicht die gleiche Bedeutung und die Tatsache, dass die Beklagte die variable Komponente bis zur Zielhöhe bei der Pensionskasse mitversichern liess, bedeutet nicht, dass sie dem Kläger einen festen Anspruch darauf einräumen wollte (vgl. BGer 4A_327/2019 E. 3.5.8). dd)    Fazit Es kann damit festgestellt werden, dass die Parteien im Zeitpunkt des Vertragsschlusses einen tatsächlichen übereinstimmenden Willen dahin hatten, dass die variable Komponente sowohl im Grundsatz als auch in der Höhe im Ermessen der Beklagten verbleibe. Bei diesem Beweisergebnis ist in antizipierender Beweiswürdigung auf die vom Kläger zum Inhalt des Vertragsabschlusses beantragten Partei- und Zeugenbefragungen zu verzichten. Beigefügt sei, dass die Beklagte den Kläger, selbst wenn dem nicht so gewesen wäre, zumindest nach Treu und Glauben so verstehen durfte. 6.       Somit bleibt noch zu prüfen, ob die Parteien nachträglich beispielweise durch konkludentes Verhalten einen Anspruch auf die variable Vergütung vereinbarten. Nach der bundesgerichtlichen Rechtsprechung kann dann, wenn die Parteien sowohl den Grundsatz als auch die Höhe des Bonus vertraglich vorbehalten haben, nicht leichthin auf eine nachträgliche stillschweigende Abänderung geschlossen werden. So muss der Arbeitgeber beispielsweise nicht weiterhin bei jeder Auszahlung einen Freiwilligkeitsvorbehalt anbringen (vgl. BGer 4A_280/2020 E. 3.3 und 5.3). Insofern begründet die vorbehaltlose Bezahlung eines Bonus für das Jahr 2016 durch die Beklagte (Pay Letter 2016) noch keinen Anspruch des Klägers genauso wenig wie die Ausrichtung eines Bonus in den drei vorangehenden Jahren (für das Jahr 2015 allerdings mit Vorbehalt) durch die E.___. Die entsprechend den gemeinsamen Behauptungen erfolgte Festlegung einer Formel, in welcher bestimmt wird, inwiefern der Geschäftsgang und die Beurteilung der individuellen Leistungen des Arbeitnehmers bei der Bemessung der Höhe der variablen Komponente einfliessen, mag zwar grundsätzlich und losgelöst von der Vorgeschichte ein Indiz dafür darstellen, dass der Arbeitgeberin nicht auch noch ein Ermessen zustehen sollte, bei unbefriedigendem Geschäftsgang unbesehen der Formel ganz auf eine Ausrichtung zu verzichten. Angesichts des eindeutigen Vertragsverständnisses gemäss Zusammenfassung – danach sollte die variable Komponente nicht nur in der Höhe, sondern eben auch im Grundsatz im Ermessen der Beklagten verbleiben (s. E. 4.c/dd hiervor) – lässt diese Festlegung jedoch nicht mit hinreichender Beweiskraft auf eine nachträgliche konkludente Vertragsänderung im Sinne der Vereinbarung eines nur noch in der Höhe vom Ermessen abhängigen Bonus schliessen. Denn damit könnten die Parteien nachträglich auch bloss bestimmt haben, dass der Bonus, falls ausgerichtet, sich nach der in E. 5.c hiervor beschriebenen (Grund-)Formel bemesse (vgl. Pay Letter 2016). 7.       Zusammenfassend ist die fragliche variable Komponente also im Grundsatz freiwillig und hängt auch in der Höhe mitunter vom IPF, also von der subjektiven Einschätzung der persönlichen Arbeitsleistungen durch die Arbeitgeberin, die Beklagte, ab. Selbst der Kläger räumt denn auch ein, dass bezüglich Letzterem "allenfalls ein beschränktes Ermessen" bestanden haben möge. Somit liegt in rechtlicher Hinsicht kein fester Lohnbestandteil i.S.v. Art. 322 OR, sondern eine echte Gratifikation i.S.v. Art. 322d OR vor (vgl. die in E. 2.c/bb beschriebene Situation). Hat der Kläger keinen arbeitsvertraglichen Anspruch auf die variable Komponente, durfte die Beklagte für das Jahr 2017 auf die Ausrichtung verzichten, auch wenn sich aus der isolierten Anwendung der Bonusformel allenfalls ein null Franken übersteigender Betrag ergeben hätte. Es ist ferner nicht ersichtlich, geschweige denn dargetan, dass die Beklagte dies geradezu aus rechtsmissbräuchlichen Beweggründen getan hätte. In Gutheissung der Berufung ist die Klage deshalb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