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SG_KANTONSGERICHT BO.2018.40 vom 1. Dezember 2007</w:t>
      </w:r>
    </w:p>
    <w:p>
      <w:r>
        <w:t>Sg Kantonsgericht, 2007-12-01, DE</w:t>
      </w:r>
    </w:p>
    <w:p>
      <w:r>
        <w:rPr>
          <w:b/>
        </w:rPr>
        <w:t xml:space="preserve">Quelle: </w:t>
      </w:r>
      <w:r>
        <w:t>https://mcp.opencaselaw.ch/entscheid/sg_publikationen_BO.2018.40</w:t>
      </w:r>
    </w:p>
    <w:p>
      <w:r>
        <w:t>FR: SG_KANTONSGERICHT BO.2018.40 du 1 décembre 2007</w:t>
      </w:r>
    </w:p>
    <w:p>
      <w:r>
        <w:t>IT: SG_KANTONSGERICHT BO.2018.40 del 1 dicembre 2007</w:t>
      </w:r>
    </w:p>
    <w:p>
      <w:pPr>
        <w:pStyle w:val="Heading2"/>
      </w:pPr>
      <w:r>
        <w:t>Regeste</w:t>
      </w:r>
    </w:p>
    <w:p>
      <w:r>
        <w:t>Art. 126 Abs. 1, Art. 132, Art. 144 Abs. 1 und Art. 148 i.V.m. Art. 311 Abs. 1 ZPO (SR 272): Die 30-tägige Berufungsfrist gemäss Art. 311 Abs. 1 ZPO ist eine gesetzliche und damit nicht erstreckbare Frist. Keine Nachfrist gestützt auf Art. 132 Abs. 1 oder Art. 148 ZPO bei zwar rechtzeitiger, aber ohne Begründung eingereichter Berufung. Steht fest, dass die Gewährung einer Nachfrist zur Berufungsbegründung auf Parteiantrag hin ausgeschlos-sen ist und auf die Berufung mangels Begründung nicht eingetreten werden kann, erüb-rigt sich auch die Sistierung des Verfahrens (Kantonsgericht, III. Zivilkammer, 24. Juni 2019, BO.2018.40).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Beklagte bezahlt dem Kläger innert 14 Tagen nach Zustellung des Abschreibungsbeschlusses Fr. 12'675.20 brutto (Fr. 7'000.00 brutto 13. Monatslohn 2008 + Fr. 5'975.20 brutto für 140 Überstunden à Fr. 42.68).</w:t>
      </w:r>
    </w:p>
    <w:p>
      <w:r>
        <w:rPr>
          <w:b/>
        </w:rPr>
        <w:t>E. 2</w:t>
      </w:r>
    </w:p>
    <w:p>
      <w:r>
        <w:t>Nach dem Gesagten ist die Berufung somit weiter zu behandeln, wobei – wie vorstehend dargelegt – mangels Begründung auf sie nicht einzutreten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