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SG_KANTONSGERICHT BE.2024.23+24-EZZ1 vom 10. Oktober 2024</w:t>
      </w:r>
    </w:p>
    <w:p>
      <w:r>
        <w:t>Sg Kantonsgericht, 2024-10-10, DE</w:t>
      </w:r>
    </w:p>
    <w:p>
      <w:r>
        <w:rPr>
          <w:b/>
        </w:rPr>
        <w:t xml:space="preserve">Quelle: </w:t>
      </w:r>
      <w:r>
        <w:t>https://mcp.opencaselaw.ch/entscheid/sg_publikationen_BE.2024.23+24-EZZ1</w:t>
      </w:r>
    </w:p>
    <w:p>
      <w:r>
        <w:t>FR: SG_KANTONSGERICHT BE.2024.23+24-EZZ1 du 10 octobre 2024</w:t>
      </w:r>
    </w:p>
    <w:p>
      <w:r>
        <w:t>IT: SG_KANTONSGERICHT BE.2024.23+24-EZZ1 del 10 ottobre 2024</w:t>
      </w:r>
    </w:p>
    <w:p>
      <w:pPr>
        <w:pStyle w:val="Heading2"/>
      </w:pPr>
      <w:r>
        <w:t>Regeste</w:t>
      </w:r>
    </w:p>
    <w:p>
      <w:r>
        <w:t>Art. 29 Abs. 2 BV; Art. 53 Abs. 1 und Art. 183 ZPO: Beschwerde gegen eine Verfügung betreffend Beweiskostenvorschuss; schwerwiegende Verletzung des rechtlichen Gehörs; die Parteien sind zu den Kosten eines Gutachtens vorgängig anzuhören (E. III/3/b); keine Heilung im Rechtsmittelverfahren (E. III/3/c). (Kantonsgericht, Einzelrichterin im Personen-, Erb- und Sachenrecht, 10. Oktober 2024, BE.2024.23+24-EZZ1).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Beklagte sei unter Androhung einer Busse gemäss Art. 292 StGB im Unterlassungsfalle in Bezug auf die Blocksteinmauer auf der nordwestlichen Hälfte der Parzelle 1855 GB X.__ zu verpflichten, den ursprünglichen Zustand des Grundstücks wiederherzustellen bzw. wie- derherstellen zu lassen. Das heisst, die Blocksteinmauer und die damit verbundene Auf- schüttung seien zu beseitigen und mit einer Böschungssicherung aus Holzbalken zu erset- zen, wobei die Böschungssicherung eine Höhe von 2.5 m nicht überschreiten darf, den Strassenabstand von 2 m einzuhalten hat und den anerkannten Regeln der Baukunst ent- sprechen muss.</w:t>
      </w:r>
    </w:p>
    <w:p>
      <w:r>
        <w:rPr>
          <w:b/>
        </w:rPr>
        <w:t>E. 2</w:t>
      </w:r>
    </w:p>
    <w:p>
      <w:r>
        <w:t>Die Kläger seien zur Ersatzvornahme auf Kosten der Beklagten zu ermächtigen, für den Fall, dass die Beklagte ihren Verpflichtungen auf Wiederherstellung gemäss dem Rechtsbegehren in Ziff. 1 nicht innert 2 Monaten seit Vorliegen des vollstreckbaren Urteils nachkommt.</w:t>
      </w:r>
    </w:p>
    <w:p>
      <w:r>
        <w:rPr>
          <w:b/>
        </w:rPr>
        <w:t>E. 3</w:t>
      </w:r>
    </w:p>
    <w:p>
      <w:r>
        <w:t>Die Parteien haben Gelegenheit, innert 20 Tagen Expertenvorschläge einzureichen.</w:t>
      </w:r>
    </w:p>
    <w:p>
      <w:r>
        <w:rPr>
          <w:b/>
        </w:rPr>
        <w:t>E. 4</w:t>
      </w:r>
    </w:p>
    <w:p>
      <w:r>
        <w:t>C.__ hat A.__ und B.__ für deren Parteikosten im Beschwerdeverfahren mit Fr. 1'620.00 zu entschädigen und ihnen den geleisteten Kostenvorschuss in Höhe von Fr. 1'000.00 zu ersetzen. BE.2024.23+24-EZZ1 11/11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