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AK.2022.475-AK vom 2. November 2021</w:t>
      </w:r>
    </w:p>
    <w:p>
      <w:r>
        <w:t>Sg Kantonsgericht, 2021-11-02, DE</w:t>
      </w:r>
    </w:p>
    <w:p>
      <w:r>
        <w:rPr>
          <w:b/>
        </w:rPr>
        <w:t xml:space="preserve">Quelle: </w:t>
      </w:r>
      <w:r>
        <w:t>https://mcp.opencaselaw.ch/entscheid/sg_publikationen_AK.2022.475-AK</w:t>
      </w:r>
    </w:p>
    <w:p>
      <w:r>
        <w:t>FR: SG_KANTONSGERICHT AK.2022.475-AK du 2 novembre 2021</w:t>
      </w:r>
    </w:p>
    <w:p>
      <w:r>
        <w:t>IT: SG_KANTONSGERICHT AK.2022.475-AK del 2 novembre 2021</w:t>
      </w:r>
    </w:p>
    <w:p>
      <w:pPr>
        <w:pStyle w:val="Heading2"/>
      </w:pPr>
      <w:r>
        <w:t>Regeste</w:t>
      </w:r>
    </w:p>
    <w:p>
      <w:r>
        <w:t>Art. 382 StPO (SR 312.0), Art. 162 PBG (sGS 731.1) Beschwerdelegitimation bei Verletzung von Bauvorschriften. Bauvorschriften schützen hauptsächlich öffentliche Interessen, aber nicht nur. Sie können ausser der Allgemeinheit auch oder in erster Linie dem Schutz der Nachbarn dienen. Es ist im Einzelnen zu prüfen, welche Bauvorschrift verletzt worden sein könnte und ob die entsprechende Norm die Allgemeinheit, den Nachbarn oder beide zusammen schützt.</w:t>
      </w:r>
    </w:p>
    <w:p>
      <w:pPr>
        <w:pStyle w:val="Heading2"/>
      </w:pPr>
      <w:r>
        <w:t>Erwägungen</w:t>
      </w:r>
    </w:p>
    <w:p>
      <w:r>
        <w:rPr>
          <w:b/>
        </w:rPr>
        <w:t>E. 2</w:t>
      </w:r>
    </w:p>
    <w:p>
      <w:r>
        <w:t>[Parzellenfläche]) entspreche. Eine offensichtliche Verletzung der Ausnützung ist nicht erkennbar. Soweit vorgebracht wird, die minimale Raumhöhe für Aufenthaltsräume gemäss Baureglement werde nicht eingehalten, ist ebenfalls nicht ersichtlich, inwiefern ein allfälliger Verstoss gegen die Raumhöhe den Beschwerdeführer unmittelbar in seinen eigenen Rechten betreffen sollte. Gleich wie Art. 24 BauR dient auch die Bauvorschrift zum Mindestmass der Raumhöhe (Art. 23 BauR) der Wohnhygiene. Entsprechend schützt sie die Bewohner der fraglichen Baute und nicht die Nachbarn. Abgesehen davon bestreiten die Beschwerdegegner, die Raumhöhe nicht eingehalten zu haben. Sie weisen darauf hin, dass die Planbeilagen der ursprünglichen Baueingabe widersprüchliche Masse ausgewiesen hätten und nicht korrekt gewesen seien. Bei der Umsetzung des Wohnbereichs sei die Mindesthöhe eingehalten worden. Sodann würde auch eine allfällige Verletzung des Verbots übermässiger Einwirkung nach Art. 684 ZGB keine Beschwerdelegitimation zu begründen vermögen. Die Strafbestimmungen im PBG und aBauG beziehen sich ausschliesslich auf die Verletzung von kantonalen Verwaltungsnormen, wobei darunter auch die Verletzung kommunaler Baureglemente fällt (Kommentar PBG SG-Looser, 2020, Art. 162 N 6 f.; Heer, St. Gallisches Bau- und Planungsrecht, 2003, N 1236). Bei Art. 684 ZGB handelt es sich demgegenüber um eine bundesrechtliche Zivilnorm. Daran ändert nichts, dass gestützt darauf bei einer Einsprache im Baubewilligungsverfahren übermässige Immissionen geltend gemacht werden können (Art. 154 PBG; Art. 86 aBauG). Entsprechend vermag auch eine allfällige Verletzung dieser Norm keine Beschwerdelegitimation des Beschwerdeführers zu begründen. Dasselbe gilt auch mit Bezug auf den Einwand, wonach das Gebäude auf der Nordseite aufgrund von Abgrabungen nicht regelkonform sei. Gemäss eigenen Angaben habe der Beschwerdeführer dagegen zunächst Einsprache erhoben, diese dann aber zurückgezogen, weil es den Beschwerdegegnern nur um das Schaffen von "etwas Licht" für die Keller- und Abstellräume gegangen sei. Zu berücksichtigen ist indessen, dass auf der Nordseite des Gebäudes der Beschwerdegegner von Anfang an ein Wohnzimmer geplant war und in der Folge auch umgesetzt wurde. Nachdem der Beschwerdeführer im Baubewilligungsverfahren mit dem Einspracherückzug darauf verzichtet hat, die Rechtmässigkeit der Abgrabungen überprüfen zu lassen, erschliesst sich nicht, wie er nachträglich für ein Strafverfahren Parteirechte daraus ableiten möchte. Unabhängig davon, ob einzelne Bauvorschriften verletzt wurden, spricht schliesslich auch gegen eine unmittelbare Betroffenheit des Beschwerdeführers, dass er erst mehr als fünf Jahre nach der Umnutzung des Abstellraums und der Vermietung der neu geschaffenen Einliegerwohnung straf- und verwaltungsrechtlich gegen die Beschwerdegegner vorgegangen ist. Ob und welche Folgen eine solche späte Reaktion allenfalls haben könnte, kann aufgrund der fehlenden Beschwerdelegitimation ebenfalls offenbleiben. 4.- Zusammengefasst ist nicht erkennbar, inwiefern der Beschwerdeführer unmittelbar in seinen Rechten betroffen sein könnte. Insbesondere die Bauvorschrift von Art. 24 BauR, deren Verletzung letztlich zur Aufhebung der nachträglich erteilten Baubewilligung für die Umnutzung geführt hat, hat keine nachbarschützende Funktion. Dementsprechend fehlt es an der Beschwerdelegitimation, weshalb auf die Beschwerde nicht einzutreten ist. 5.- Die Kosten des Rechtsmittelverfahrens tragen die Parteien nach Massgabe ihres Obsiegens oder Unterliegens (Art. 428 Abs. 1 StPO). Dem Verfahrensausgang entsprechend sind die Kosten des Beschwerdeverfahrens dem Beschwerdeführer aufzuerlegen. Angemessen erscheint insbesondere aufgrund der Art des Falls, der finanziellen Interessen und des damit verbundenen Aufwands eine Entscheidgebühr von Fr. 1'000.– (Art. 4 und 15 Ziff. 23 GKV). Die Sicherheitsleistung von insgesamt Fr. 2'000.– ist damit zu verrechnen. Auf die Zusprache einer Entschädigung hat der Beschwerdeführer keinen Anspruch, weil er im Beschwerdeverfahren unterliegt. Er ist hingegen zu verpflichten, die anwaltlich vertretenen Beschwerdegegner zu entschädigen. Hierfür erscheint ein Betrag von pauschal Fr. 1'000.– (Barauslagen und Mehrwertsteuer inbegriffen) als angemessen. Für sein Honorar kann sich der Rechtsvertreter der Beschwerdegegner aus der Sicherheitsleistung bezahlt machen. Entscheid: Die Verfahren AK.2022.475-AK und AK.2022.476-AK werden vereinigt. Auf die Beschwerden wird nicht eingetreten. Der Beschwerdeführer hat die Kosten des Beschwerdeverfahrens von Fr. 1'000.– zu bezahlen, unter Verrechnung der Sicherheit von Fr. 1'000.– des Verfahrens AK.2022.475-AK. Der Beschwerdeführer hat die Beschwerdegegner mit insgesamt Fr. 1'000.– zu entschädigen. Dafür kann sich der Rechtsvertreter der Beschwerdegegner aus der Sicherheitsleistung von Fr. 1'000.– des Verfahrens AK.2022.476-AK bezahlt machen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