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AK.2019.116 vom 1. März 2019</w:t>
      </w:r>
    </w:p>
    <w:p>
      <w:r>
        <w:t>Sg Kantonsgericht, 2019-03-01, DE</w:t>
      </w:r>
    </w:p>
    <w:p>
      <w:r>
        <w:rPr>
          <w:b/>
        </w:rPr>
        <w:t xml:space="preserve">Quelle: </w:t>
      </w:r>
      <w:r>
        <w:t>https://mcp.opencaselaw.ch/entscheid/sg_publikationen_AK.2019.116</w:t>
      </w:r>
    </w:p>
    <w:p>
      <w:r>
        <w:t>FR: SG_KANTONSGERICHT AK.2019.116 du 1 mars 2019</w:t>
      </w:r>
    </w:p>
    <w:p>
      <w:r>
        <w:t>IT: SG_KANTONSGERICHT AK.2019.116 del 1 marzo 2019</w:t>
      </w:r>
    </w:p>
    <w:p>
      <w:pPr>
        <w:pStyle w:val="Heading2"/>
      </w:pPr>
      <w:r>
        <w:t>Regeste</w:t>
      </w:r>
    </w:p>
    <w:p>
      <w:r>
        <w:t>Art. 309 StPO (SR 312.0) Eröffnung des Strafverfahrens bei Aktenbeizug im Sinne von Art. 194 StPO. Die Staatsanwaltschaft zog vom Betreibungsamt Akten bei. Damit war eine Strafuntersuchung eröffnet und eine Nichtanhandnahmeverfügung war nicht mehr möglich (Anklagekammer, 19. Juni 2019, AK.2019.116).</w:t>
      </w:r>
    </w:p>
    <w:p>
      <w:pPr>
        <w:pStyle w:val="Heading2"/>
      </w:pPr>
      <w:r>
        <w:t>Volltext</w:t>
      </w:r>
    </w:p>
    <w:p>
      <w:r>
        <w:t>Aus den Erwägungen: II. 2.a)  Die Staatsanwaltschaft eröffnet u.a. dann eine Untersuchung, wenn sich aus den Informationen und den Berichten der Polizei, aus der Strafanzeige oder aus ihren eigenen Feststellungen ein hinreichender Tatverdacht ergibt oder wenn sie Zwangsmassnahmen anordnet (Art. 309 Abs. 1 lit. a-c StPO). Die eröffnete Untersuchung nach Art. 308 ff. StPO ist grundsätzlich durch die Staatsanwaltschaft zu führen. 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abzuschliessen. Dies ist zum Beispiel bei einem Aktenbeizug im Sinne von Art. 194 StPO der Fall (BGer. 6B_810/2017 E. 2.4.2; 1B_731/2012 E. 2). b)  Die Staatsanwaltschaft zog mit Schreiben vom 12. Dezember 2018 die Akten des Betreibungsamtes […] bei. Damit war eine Strafuntersuchung eröffnet und eine Nichtanhandnahmeverfügung war nicht mehr möglich (vgl. BGer. 6B_810/ 2017 E. 2.4.2; 1B_731/2012 E. 2). Dementsprechend ist die Nichtanhandnahmeverfügung vom 1. März 2019 bereits aus diesem Grund aufzuheben. Allerdings ist die Nichtanhandnahmeverfügung auch aus materiellen Gründen aufzuheben, wie nachfolgend darzulegen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