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22-9334 vom 31. August 2023</w:t>
      </w:r>
    </w:p>
    <w:p>
      <w:r>
        <w:t>SG Gerichte, 2023-08-31, DE</w:t>
      </w:r>
    </w:p>
    <w:p>
      <w:r>
        <w:rPr>
          <w:b/>
        </w:rPr>
        <w:t xml:space="preserve">Quelle: </w:t>
      </w:r>
      <w:r>
        <w:t>https://mcp.opencaselaw.ch/entscheid/sg_publikationen_22-9334</w:t>
      </w:r>
    </w:p>
    <w:p>
      <w:r>
        <w:t>FR: SG_PUBLIKATIONEN 22-9334 du 31 août 2023</w:t>
      </w:r>
    </w:p>
    <w:p>
      <w:r>
        <w:t>IT: SG_PUBLIKATIONEN 22-9334 del 31 agosto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Mit Eingabe vom 27. Dezember 2022 reichte der Rechtsvertre- ter des Rekurrenten sowohl in dessen Namen als auch im Namen der Erbengemeinschaft E.___ sel. Rekurs gegen die vorinstanzliche Ver- fügung ein. Mit Schreiben vom 11. Januar 2023 zog er den Rekurs, soweit er im Namen der Erbengemeinschaft E.___ sel. erklärt wurde, zurück. Der im Namen der Erbengemeinschaft E.___ sel. erhobene Rekurs ist deshalb zufolge Rückzugs nach Art. 57 VRP abzuschrei- ben.</w:t>
      </w:r>
    </w:p>
    <w:p>
      <w:r>
        <w:rPr>
          <w:b/>
        </w:rPr>
        <w:t>E. 1.3</w:t>
      </w:r>
    </w:p>
    <w:p>
      <w:r>
        <w:t>Gleichzeitig mit dem Rückzug des Rekurses im Namen der Er- bengemeinschaft E.___ sel. hielt der Rechtsvertreter des Rekurrenten fest, der in dessen Name erklärte Rekurs werde aufrechterhalten.</w:t>
      </w:r>
    </w:p>
    <w:p>
      <w:r>
        <w:rPr>
          <w:b/>
        </w:rPr>
        <w:t>E. 1.3.1</w:t>
      </w:r>
    </w:p>
    <w:p>
      <w:r>
        <w:t>Die Frist- und Formerfordernisse von Art. 47 Abs. 1 und Art. 48 VRP sind erfüllt.</w:t>
      </w:r>
    </w:p>
    <w:p>
      <w:r>
        <w:t>Entscheid des Bau- und Umweltdepartementes SG (Nr. 73/2023), Seite 9/16</w:t>
      </w:r>
    </w:p>
    <w:p>
      <w:r>
        <w:rPr>
          <w:b/>
        </w:rPr>
        <w:t>E. 1.3.2</w:t>
      </w:r>
    </w:p>
    <w:p>
      <w:r>
        <w:t>Zu prüfen ist nachfolgend, ob der Rekurrent zur Rekurserhe- bung berechtigt ist (Art. 45 VRP). Er führt aus, als Miteigentümer des Grundstücks Nr. 005 sei er zur Einreichung des Rekurses legitimiert.</w:t>
      </w:r>
    </w:p>
    <w:p>
      <w:r>
        <w:rPr>
          <w:b/>
        </w:rPr>
        <w:t>E. 1.3.2.1</w:t>
      </w:r>
    </w:p>
    <w:p>
      <w:r>
        <w:t>Gemäss Art. 45 Abs. 1 VRP ist zur Erhebung des Rekur- ses berechtigt, wer an der Änderung oder Aufhebung der Verfügung oder des Entscheids ein eigenes schutzwürdiges Interesse dartut.</w:t>
      </w:r>
    </w:p>
    <w:p>
      <w:r>
        <w:rPr>
          <w:b/>
        </w:rPr>
        <w:t>E. 1.3.2.2</w:t>
      </w:r>
    </w:p>
    <w:p>
      <w:r>
        <w:t>Das Grundstück Nr. 005, welches Teil der Überbauung D.___ ist, ist im Eigentum der Erbengemeinschaft E.___ sel. Der Re- kurrent erhob als Mitglied dieser Erbengemeinschaft in seinem Namen Rekurs gegen den Entscheid der Vorinstanz.</w:t>
      </w:r>
    </w:p>
    <w:p>
      <w:r>
        <w:rPr>
          <w:b/>
        </w:rPr>
        <w:t>E. 1.3.2.3</w:t>
      </w:r>
    </w:p>
    <w:p>
      <w:r>
        <w:t>Die Mitglieder einer Erbengemeinschaft sind Gesamtei- gentümer der Erbschaftsgegenstände und verfügen über die Rechte der Erbschaft gemeinsam – vorbehältlich vertraglicher und gesetzli- cher Vertretungs- und Verwaltungsbefugnisse (Art. 602 Abs. 2 und Art. 653 des eidgenössischen Zivilgesetzbuches [SR 210; abgekürzt ZGB]; BGE 102 I 430 Erw. 3). Die Eigentumsausübung erfolgt zur ge- samten Hand, mithin gemeinsam (B. GRAHAM-SIEGENTHALER, in: Aebi- Müller/Müller [Hrsg.], Berner Kommentar, Das Eigentum – Allgemeine Beziehungen – Art. 641-654a ZGB, Vierter Abschnitt Begriff, Inhalt und Arten des Eigentums, Bern 2022, N 612). Nur alle Erben zusam- men oder ein Erbenvertreter sind grundsätzlich befugt, Rechte geltend zu machen, welche der Erbengemeinschaft zustehen (BGE 116 Ib 447 Erw. 2a; 119 Ib 56 Erw. 1). Das Erfordernis des gemeinsamen Han- delns bezweckt den Schutz der Gemeinschaft gegen schädigende Sonderaktionen einzelner Gemeinschafter (Urteil des Bundesgerich- tes vom 23. Juni 1997 Erw. 5, in ZBl 99/1998 S. 386 Erw. 3.a). Sie bil- den eine notwendige Streitgenossenschaft (J. MANGISCH, in: Kostkie- wicz et al. [Hrsg.], ZGB Kommentar – Schweizerisches Zivilgesetz- buch, 4. Aufl., Zürich 2021, Art. 653 N 5).</w:t>
      </w:r>
    </w:p>
    <w:p>
      <w:r>
        <w:rPr>
          <w:b/>
        </w:rPr>
        <w:t>E. 1.3.2.4</w:t>
      </w:r>
    </w:p>
    <w:p>
      <w:r>
        <w:t>Die Lehre und Rechtsprechung anerkennen jedoch eine selbständige Anfechtungsbefugnis der einzelnen Gesamthänder bzw. Erben im Verwaltungsprozess, wenn das Rechtsmittel darauf angelegt ist, eine belastende oder pflichtbegründende Anordnung abzuwenden. Die Zustimmung aller Beteiligten oder ihrer Vertreter ist hingegen er- forderlich, wenn das Interesse der Erbengemeinschaft oder der übri- gen Erben beeinträchtigt oder gefährdet erscheint. Die Interessen ei- nes einzelnen Erben finden also ihre Schranke dort, wo ein Rechtsbe- gehren geeignet ist, die Interessen der übrigen Mitglieder der Erben- gemeinschaft zu beeinträchtigen oder zu gefährden. In diesen Fällen ist das schutzwürdige Interesse des beschwerdeführenden Erben nicht mehr gegeben. Nach bundesgerichtlicher Praxis sind beispiels- weise Rechtsmittel einzelner Erben im eigenen Namen gegen nach- barliche Baubewilligungen zulässig (VerwGE B 2011/177 vom 29. Au- gust 2012 Erw. 3.2.3 mit zahlreichen Hinweisen).</w:t>
      </w:r>
    </w:p>
    <w:p>
      <w:r>
        <w:t>Entscheid des Bau- und Umweltdepartementes SG (Nr. 73/2023), Seite 10/16</w:t>
      </w:r>
    </w:p>
    <w:p>
      <w:r>
        <w:rPr>
          <w:b/>
        </w:rPr>
        <w:t>E. 1.3.2.5</w:t>
      </w:r>
    </w:p>
    <w:p>
      <w:r>
        <w:t>Wie F.___ in seiner Eingabe vom 9. Januar 2023 zu Recht festgehalten hat, können Mitglieder einer Erbengemeinschaft grund- sätzlich lediglich gesamthänderisch über die Erbschaft verfügen. Wie sich aber aus der vorstehend dargelegten Rechtsprechung ergibt, ist ausnahmsweise, namentlich bei der Anfechtung einer nachbarlichen Baubewilligung, die Legitimation eines einzelnen Mitglieds einer Er- bengemeinschaft zu bejahen. Um einen solchen Ausnahmefall handelt es sich vorliegend. Folglich ist der Rekurrent zur Anfechtung der vo- rinstanzlichen Verfügung legitimiert.</w:t>
      </w:r>
    </w:p>
    <w:p>
      <w:r>
        <w:rPr>
          <w:b/>
        </w:rPr>
        <w:t>E. 1.3.3</w:t>
      </w:r>
    </w:p>
    <w:p>
      <w:r>
        <w:t>Nachdem die Rekurslegitimation des Rekurrenten zu bejahen ist, ist auf seinen Rekurs einzutreten.</w:t>
      </w:r>
    </w:p>
    <w:p>
      <w:r>
        <w:rPr>
          <w:b/>
        </w:rPr>
        <w:t>E. 2</w:t>
      </w:r>
    </w:p>
    <w:p>
      <w:r>
        <w:t>Am 1. Oktober 2017 ist das PBG in Kraft getreten und das BauG auf- gehoben worden (Art. 172 Bst. a PBG). Gemäss Art. 173 PBG werden indessen die bei Vollzugsbeginn dieses Erlasses hängigen Baubewil- ligungsverfahren grundsätzlich nach jenem Recht beurteilt, das im Zeitpunkt des erstinstanzlichen Entscheids der Baubewilligungsbe- hörde Gültigkeit hat (Art. 173 PBG). Der erstinstanzliche Einsprache- und Baubewilligungsentscheid erging am 25. November 2022. Mithin sind vorliegend grundsätzlich die Bestimmungen des PBG anwendbar, sofern sie gemäss Anhang zum Kreisschreiben «Übergangsrechtliche Bestimmungen im PBG» vom 8. März 2017 (Baudepartement SG, Ju- ristische Mitteilungen 2017/I/1) als unmittelbar anwendbar erklärt wer- den. Im Übrigen gelangen weiterhin das Baugesetz und das entspre- chende Baureglement zur Anwendung.</w:t>
      </w:r>
    </w:p>
    <w:p>
      <w:r>
        <w:rPr>
          <w:b/>
        </w:rPr>
        <w:t>E. 3</w:t>
      </w:r>
    </w:p>
    <w:p>
      <w:r>
        <w:t>Der Rekurrent stellt mehrere verfahrensrechtliche Anträge. So bean- tragt er die Einsicht in die Rekursakten, die Durchführung eines zwei- ten Schriftenwechsels sowie eines Augenscheins. Die Rekursakten wurden ihm antragsgemäss zur Einsicht zugestellt. Für die Durchfüh- rung eines zweiten Schriftenwechsels bestand keine Veranlassung, wie mit Schreiben vom 18. April 2023 mitgeteilt wurde. Es war dem Rekurrenten aber unbenommen, im Rahmen des Replikrechts noch- mals eine Stellungnahme einzureichen. Von diesem Recht hat er mit seiner Eingabe vom 19. Mai 2023 Gebrauch gemacht, womit das Rep- likrecht hinlänglich gewahrt ist. Ob ein Augenschein durchzuführen ist, liegt im pflichtgemässen Ermessen der urteilenden Instanz. Nur wo sich eine Tatsache nicht anders abklären lässt, wird eine Verpflichtung zur Durchführung eines Augenscheins bejaht. Ergibt sich eine Tatsa- che dagegen zweifelsfrei aus den Akten, so braucht sie nicht durch einen Augenschein überprüft zu werden. Die entscheidenden tatsäch- lichen Verhältnisse ergeben sich vorliegend vollständig aus den Ver- fahrensakten, dem öffentlich zugänglichen Geoportal (www.geopor- tal.ch) sowie öffentlich zugänglichem Bildmaterial (google.maps.ch). Auf die Durchführung eines Augenscheins kann daher verzichtet wer- den (vgl. nachfolgend Erw. 7). Ebenfalls abzulehnen ist der Antrag auf persönliche Anhörung nach Art. 6 der Konvention zum Schutze der Menschenrechte und Grundfreiheiten (SR 0.101; abgekürzt EMRK) im</w:t>
      </w:r>
    </w:p>
    <w:p>
      <w:r>
        <w:t>Entscheid des Bau- und Umweltdepartementes SG (Nr. 73/2023), Seite 11/16</w:t>
      </w:r>
    </w:p>
    <w:p>
      <w:r>
        <w:t>Fall des Verzichts auf einen Augenschein. Die Verfahrensgarantie von Art. 6 Ziff. 1 EMRK gilt nur für Verfahren vor verwaltungsunabhängigen Justizbehörden, d.h. vor dem Verwaltungsgericht und der Verwal- tungsrekurskommission (A. FEDI, in: Rizvi/Schindler/Cavelti [Hrsg.], Praxiskommentar zum Gesetz über die Verwaltungsrechtspflege, Zü- rich/St.Gallen 2020, Art. 55 N 3). Die Baugesuchsakten wurden beige- zogen. Aus der beantragten Edition diverser weiterer Akten, nament- lich Grundlagen der Gesamtüberbauung und ursprüngliche Bauakten zur Überbauung D.___, ist dagegen kein Erkenntnisgewinn zu erwar- ten, so dass hierauf – wie auch noch zu zeigen ist – in antizipierter Beweiswürdigung verzichtet werden kann.</w:t>
      </w:r>
    </w:p>
    <w:p>
      <w:r>
        <w:rPr>
          <w:b/>
        </w:rPr>
        <w:t>E. 4</w:t>
      </w:r>
    </w:p>
    <w:p>
      <w:r>
        <w:t>Der Rekurrent beanstandet, es sei mit den Anliegen der Rechtssicherheit unvereinbar, wenn eine erstinstanzliche Baubewilligung erteilt werde für ein Bauvorhaben, für welches das Auflageverfahren mehr als fünf Jahre zurückliege und keine Bauvisiere aufgestellt seien. Damit wäre für Dritte wenigstens optisch ein Hinweis vorhanden, wonach eine Änderung der bestehenden Bebauung anstehe bzw. ein entsprechendes Verfahren im Gang sei.</w:t>
      </w:r>
    </w:p>
    <w:p>
      <w:r>
        <w:rPr>
          <w:b/>
        </w:rPr>
        <w:t>E. 4.1</w:t>
      </w:r>
    </w:p>
    <w:p>
      <w:r>
        <w:t>Nach Art. 138 Abs.1 PBG stellt die Bauherrschaft vor dem Auf- lageverfahren Visiere auf, die Stellung und Ausmass der Baute oder Anlage bezeichnen (im Zeitpunkt der öffentlichen Auflage war noch Art. 81 BauG in Kraft). Die Aussteckung und Profilierung von Bauten und Anlagen haben zum Zweck, das Bauvorhaben zu veranschauli- chen als Ergänzung zu den Baugesuchsunterlagen. Die Visierung soll vor allem Nachbarn, Passanten oder Dritte auf ein geplantes Bauvor- haben aufmerksam machen. Den Visieren kommt somit in erster Linie eine Publizitätswirkung zu (M. MÖHR, in: Bereuter/Frei/Ritter [Hrsg.], Kommentar zum Planungs- und Baugesetz des Kantons St.Gallen, Basel 2020, Art. 138 N 2 ff.). Fehlende oder mangelhafte Visierungen bleiben ohne Folgen für das Baubewilligungsverfahren, wenn der Ein- sprecher dadurch keine Nachteile erleidet (BDE Nr. 15/2018 vom 23. März 2018 Erw. 2.1).</w:t>
      </w:r>
    </w:p>
    <w:p>
      <w:r>
        <w:rPr>
          <w:b/>
        </w:rPr>
        <w:t>E. 4.2</w:t>
      </w:r>
    </w:p>
    <w:p>
      <w:r>
        <w:t>Vorliegend wurde das Anzeige- und Auflageverfahren gemäss dem zum damaligen Zeitpunkt geltenden Art. 82 f. BauG durchgeführt. Die Unterlagen des strittigen Bauvorhabens wurden vom 4. bis 19. Juli 2017 öffentlich aufgelegt. E.___ sel. hat während der Einsprachefrist Einsprache gegen das Bauvorhaben der Rekursgegner erhoben und damit ihre Rechte wahrnehmen können. Selbst wenn also gar nie Vi- siere aufgestellt worden sind oder die Visiere bereits entfernt wurden, wäre ihr angesichts ihrer erfolgten Einsprache dadurch kein Rechts- nachteil erwachsen. Folglich besteht auch für den Rekurrenten als Rechtsnachfolger von E.___ sel. kein Rechtsnachteil. Inwiefern sich sodann die lange Verfahrensdauer nachteilig auf den Rekurrenten ausgewirkt haben soll, ist nicht ersichtlich und wird auch nicht darge- legt. Es gibt keine Bestimmung, die vorsieht, dass nach einer gewis- sen Verfahrensdauer nochmals ein Auflageverfahren durchzuführen ist. Der Verweis auf Art. 148 PBG (Geltungsdauer Baubewilligung) ist</w:t>
      </w:r>
    </w:p>
    <w:p>
      <w:r>
        <w:t>Entscheid des Bau- und Umweltdepartementes SG (Nr. 73/2023), Seite 12/16</w:t>
      </w:r>
    </w:p>
    <w:p>
      <w:r>
        <w:t>in diesem Zusammenhang nicht stichhaltig. Dass die abschliessende Beurteilung des Baugesuchs der Rekursgegner aufgrund verschiede- ner mit dem Baugesuch zusammenhängender Verfahren nicht hat er- folgen können, kann nicht den Rekursgegnern zum Nachteil gerei- chen. Auf Verfahrensrechte Dritter kann sich der Rekurrent im Übrigen nicht berufen (Urteil des Bundesgerichtes 1C_340/2017 vom 25. Juni 2018 Erw. 5.2). Die Rüge ist unbegründet und für eine Rückweisung – wie vom Rekurrenten beantragt – besteht keine Veranlassung.</w:t>
      </w:r>
    </w:p>
    <w:p>
      <w:r>
        <w:rPr>
          <w:b/>
        </w:rPr>
        <w:t>E. 5</w:t>
      </w:r>
    </w:p>
    <w:p>
      <w:r>
        <w:t>In materieller Hinsicht ist vorab festzuhalten, dass die Vorinstanz mit BDE Nr. 55/2021 vom 31. August 2021 angewiesen wurde, die vorfra- geweise Beurteilung der Schutzwürdigkeit der Siedlung D.___ durch den Stadtrat Z.___ zu veranlassen und danach erneut über das Bau- gesuch der Rekursgegner zu befinden. Der Stadtrat Z.___ prüfte in der Folge eine allfällige Unterschutzstellung der Siedlung und lehnte diese mit Entscheid vom 3. November 2022 ab. Auf den vom Rekurrenten gegen diesen Entscheid erhobenen Rekurs (Verfahren Nr. 22-9313) tritt das Bau- und Umweltdepartement (BUDE Nr. 72/2023 vom 31. August 2023) nicht ein. Ausgangspunkt für die nachfolgende Be- urteilung des strittigen Bauvorhabens der Rekursgegner ist demnach, dass die Siedlung D.___ kein Schutzobjekt nach Art. 115 Bst. g PBG ist.</w:t>
      </w:r>
    </w:p>
    <w:p>
      <w:r>
        <w:rPr>
          <w:b/>
        </w:rPr>
        <w:t>E. 6</w:t>
      </w:r>
    </w:p>
    <w:p>
      <w:r>
        <w:t>Der Rekurrent macht geltend, sofern die Überbauung D.___ nicht als Schutzgegenstand nach Art. 115 Bst. g PBG gelte, sei die Überbau- ung als Gebiet mit besonderem baulichem Erscheinungsbild im Sinn von Art. 50 BO zu betrachten. Das streitige Bauvorhaben sei mit den gestalterischen Vorgaben für Bauvorhaben dieser Bestimmung unver- einbar.</w:t>
      </w:r>
    </w:p>
    <w:p>
      <w:r>
        <w:rPr>
          <w:b/>
        </w:rPr>
        <w:t>E. 6.1</w:t>
      </w:r>
    </w:p>
    <w:p>
      <w:r>
        <w:t>Art. 50 BO sieht vor, dass in den im Zonenplan bezeichneten Gebieten mit besonderem baulichem Erscheinungsbild Bauten und Aussenräume so zu gestalten sind, dass der typische Gebietscharak- ter gewahrt bleibe und eine gute Gesamtwirkung erzielt werde.</w:t>
      </w:r>
    </w:p>
    <w:p>
      <w:r>
        <w:rPr>
          <w:b/>
        </w:rPr>
        <w:t>E. 6.2</w:t>
      </w:r>
    </w:p>
    <w:p>
      <w:r>
        <w:t>Die Siedlung ist unbestrittenermassen nicht Teil eines im Zonen- plan bezeichneten Gebiets mit besonderem baulichem Erscheinungs- bild. Die entsprechenden Bestimmungen bzw. die gestalterischen Vor- gaben von Art. 50 BO gelangen demnach nicht zur Anwendung. Es erübrigt sich deshalb, auf dieses Vorbringen weiter einzugehen.</w:t>
      </w:r>
    </w:p>
    <w:p>
      <w:r>
        <w:rPr>
          <w:b/>
        </w:rPr>
        <w:t>E. 7</w:t>
      </w:r>
    </w:p>
    <w:p>
      <w:r>
        <w:t>Schliesslich rügt der Rekurrent, selbst wenn die Überbauung D.___ kein Baudenkmal sei und Art. 50 BO nicht als Massstab gelte, sei das Bauvorhaben wegen des Verstosses gegen das Verunstaltungsverbot unzulässig. Die Aufdoppelung der Fassade und das Aufstellen von Sonnenkollektoren auf einem der 32 Flachdächer stehe in krassem Gegensatz zur Gesamtüberbauung. Das heute weitgehend intakte Er- scheinungsbild würde in krasser Weise missachtet werden.</w:t>
      </w:r>
    </w:p>
    <w:p>
      <w:r>
        <w:t>Entscheid des Bau- und Umweltdepartementes SG (Nr. 73/2023), Seite 13/16</w:t>
      </w:r>
    </w:p>
    <w:p>
      <w:r>
        <w:t>Die Rekursgegner entgegnen, das vom Rekurrenten geltend ge- machte einheitliche Bild der Siedlung bestehe längst nicht mehr. Eine Verunstaltung liege durch das Bauvorhaben nicht vor.</w:t>
      </w:r>
    </w:p>
    <w:p>
      <w:r>
        <w:rPr>
          <w:b/>
        </w:rPr>
        <w:t>E. 7.1</w:t>
      </w:r>
    </w:p>
    <w:p>
      <w:r>
        <w:t>Art. 99 Abs. 1 PBG, welcher inhaltlich im Wesentlichen mit Art. 93 BauG übereinstimmt, verbietet die Erstellung von Bauten und Anlagen, die das Orts- und Landschaftsbild verunstalten oder Bau- denkmäler beeinträchtigen. Im Unterschied zu positiven Bauästhetik- vorschriften (Gestaltungs- oder Einfügungsvorschriften) verbietet das Verunstaltungsverbot nur erheblich störende Wirkungen auf das Orts- und Landschaftsbild in dem Sinn, dass nur etwas qualifiziert Unschö- nes verhindert werden soll. Eine bauliche Gestaltung darf wegen Ver- unstaltung nur abgelehnt werden, wenn sie nach Massstäben, die «in Anschauungen von einer gewissen Verbreitung und Allgemeingültig- keit gefunden werden», als erheblich störend zu bezeichnen ist. Dabei ist nicht das Bauvorhaben isoliert zu betrachten, sondern in Bezug zu seiner baulichen und landschaftlichen Umgebung zu setzen (VerwGE B 2021/8 vom 12. Juli 2021 Erw. 2.2 und BUDE Nr. 67/2021 vom</w:t>
      </w:r>
    </w:p>
    <w:p>
      <w:r>
        <w:rPr>
          <w:b/>
        </w:rPr>
        <w:t>E. 7.2</w:t>
      </w:r>
    </w:p>
    <w:p>
      <w:r>
        <w:t>In Bezug auf die Prüfung der Verletzung des Verunstaltungsver- bots kommt den kommunalen Behörden bei der Anwendung der Re- geln betreffend Gestaltung von Bauten und Anlagen und deren Um- schwung ein erheblicher Beurteilungsspielraum zu (VerwGE B 2021/8 vom 12. Juli 2021 Erw. 2.3). Die Vorinstanz erwog, das äussere Er- scheinungsbild werde sich, insbesondere aufgrund des Dachvor- sprungs, zweifelsohne leicht ändern. Allerdings bedeute die Tatsache, dass ein Bauvorhaben das bestehende Erscheinungsbild verändere, für sich allein noch keinen Verstoss gegen das Verunstaltungsverbot. Eine Verunstaltung liege erst dann vor, wenn ein Gegensatz zum be- stehenden Orts- und Landschaftsbild geschaffen werden soll, der in qualifizierter Weise störe. Dies sei vorliegend nicht der Fall.</w:t>
      </w:r>
    </w:p>
    <w:p>
      <w:r>
        <w:rPr>
          <w:b/>
        </w:rPr>
        <w:t>E. 7.3</w:t>
      </w:r>
    </w:p>
    <w:p>
      <w:r>
        <w:t>Der Rekurrent beruft sich in seinem Rekurs einzig darauf, dass die Fassaden infolge der geplanten Aussenwärmedämmung sowie die Photovoltaikanlage im Gegensatz zur Gesamtüberbauung stehen und das weitgehend intakte Erscheinungsbild missachten würden. Eine substantiierte Begründung, weshalb dies der Fall sein soll, fehlt indes. Er setzt sich in seinen Ausführungen nicht vertieft mit den vorgesehe- nen baulichen Massnahmen auseinander und zeigt nicht auf, aus wel- chem Grund das strittige Bauvorhaben der Rekursgegner etwas qua- lifiziert Unschönes und damit eine Verunstaltung zur Folge hat.</w:t>
      </w:r>
    </w:p>
    <w:p>
      <w:r>
        <w:t>Wie die Vorinstanz in der angefochtenen Verfügung zutreffend erkannt hat, bewirkt das Bauvorhaben zwar eine gewisse äusserliche Verän- derung des Wohnhauses der Rekursgegner. Aus dieser Tatsache al- leine kann aber nicht auf eine Verunstaltung geschlossen werden, zu- mal vorliegend keine Einfügungsvorschriften zu beachten sind. Durch die neue Aussenwärmedämmung samt neuem Verputz werden die Fassaden rund 15 cm nach vorne geschoben. Im Verhältnis zur</w:t>
      </w:r>
    </w:p>
    <w:p>
      <w:r>
        <w:t>Entscheid des Bau- und Umweltdepartementes SG (Nr. 73/2023), Seite 14/16</w:t>
      </w:r>
    </w:p>
    <w:p>
      <w:r>
        <w:t>Grösse des Wohnhauses wird diese Verschiebung von Auge kaum wahrnehmbar sein (vgl. nachfolgender Planausschnitt 1). Auch wenn durch die Aussenwärmedämmung die Fenster in diesem Umfang von der Fassade zurückversetzt sein werden, ist eine Verunstaltung noch nicht ansatzweise anzunehmen. Die neuen Fenster aus Holz und Me- tall weisen sodann die gleiche Grösse wie die bestehenden Fenster auf. Dadurch resultiert eine bloss geringfügige Veränderung der Ge- bäudehülle (vgl. nachstehender Planausschnitt 1).</w:t>
      </w:r>
    </w:p>
    <w:p>
      <w:r>
        <w:t>[…] (Ausschnitt 1 Plan Fassaden 1:100 der Baugesuchsunterlagen)</w:t>
      </w:r>
    </w:p>
    <w:p>
      <w:r>
        <w:t>Weiter wird das bestehende Dach wiederum durch ein Flachdach er- setzt. Die vom Rekurrenten betonte Charakteristik, dass sämtliche zur Siedlung gehörenden Gebäude Flachdächer haben, bleibt damit er- halten. Zwar weist das Gebäude neu ein Vordach von 40 cm auf. Be- zogen auf das ganze Wohnhaus bleibt ein Vordach in diesem Umfang äusserlich aber von untergeordneter Bedeutung (vgl. nachstehender Planausschnitt 2). Hinsichtlich der Solaranlage geht aus den Bauge- suchsunterlagen hervor, dass die einzelnen Module nicht aufgestellt, sondern nahezu flach auf dem Dach montiert werden (vgl. nachfolgen- der Planausschnitt 2). Dadurch wird die bestehende Dachlandschaft der Siedlung D.___ aus Flachdächern nicht einschneidend verändert. Darüber hinaus sieht Art. 18a Abs. 4 RPG explizit vor, dass – wenn wie vorliegend keine Kulturdenkmäler betroffen sind – die Interessen an der Nutzung der Solarenergie auf bestehenden oder neuen Bauten grundsätzlich vorgehen.</w:t>
      </w:r>
    </w:p>
    <w:p>
      <w:r>
        <w:t>[…] (Ausschnitt 2 Plan Fassaden 1:100 der Baugesuchsunterlagen)</w:t>
      </w:r>
    </w:p>
    <w:p>
      <w:r>
        <w:t>Die Auswirkungen einer neuen Eingangstür sowie von neuen Lamel- lenstoren sind unter dem Aspekt der Verunstaltung schliesslich ver- nachlässigbar.</w:t>
      </w:r>
    </w:p>
    <w:p>
      <w:r>
        <w:rPr>
          <w:b/>
        </w:rPr>
        <w:t>E. 7.4</w:t>
      </w:r>
    </w:p>
    <w:p>
      <w:r>
        <w:t>Insgesamt bleibt der Einfluss der geplanten baulichen Massnah- men der Rekursgegner, die eine energetische Sanierung ihres Wohn- hauses zum Zweck haben, auf das äussere Erscheinungsbild der Siedlung D.___ gering. Es ist ausgeschlossen, dass das Bauvorhaben erheblich störende Auswirkungen auf das Orts- und Landschaftsbild hat. Dem Rekurrenten gelingt es nicht, darzulegen, weshalb das strit- tige Bauvorhaben als qualifiziert unschön im Sinn der Rechtsprechung wahrgenommen werden soll. Eine Verletzung des Verunstaltungsver- bots nach Art. 99 PBG ist zu verneinen. Die Durchführung eines Au- genscheins oder Beizug weiterer Unterlagen zur Siedlung D.___ ist bei dieser Sachlage nicht erforderlich.</w:t>
      </w:r>
    </w:p>
    <w:p>
      <w:r>
        <w:rPr>
          <w:b/>
        </w:rPr>
        <w:t>E. 8</w:t>
      </w:r>
    </w:p>
    <w:p>
      <w:r>
        <w:t>Zusammenfassend erweisen sich die Vorbringen des Rekurrenten als nicht stichhaltig. Der Rekurs ist deshalb als unbegründet zu beurteilen und abzuweisen.</w:t>
      </w:r>
    </w:p>
    <w:p>
      <w:r>
        <w:t>Entscheid des Bau- und Umweltdepartementes SG (Nr. 73/2023), Seite 15/16</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9.2</w:t>
      </w:r>
    </w:p>
    <w:p>
      <w:r>
        <w:t>Der vom Rekurrenten am 20. Januar 2023 geleistete Kostenvor- schuss von Fr. 1'800.– ist anzurechnen.</w:t>
      </w:r>
    </w:p>
    <w:p>
      <w:r>
        <w:rPr>
          <w:b/>
        </w:rPr>
        <w:t>E. 10</w:t>
      </w:r>
    </w:p>
    <w:p>
      <w:r>
        <w:t>Rekurrent und Rekursgegner stellen ein Begehren um Ersatz der aus- 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Rekursgegner obsiegen mit ihren Anträgen. Da das Verfah- ren zudem in tatsächlicher und rechtlicher Hinsicht Schwierigkeiten bot, die den Beizug einer Rechtsvertreterin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insgesamt Fr. 2'750.– festzulegen; sie ist vom Rekurrenten zu bezah- len.</w:t>
      </w:r>
    </w:p>
    <w:p>
      <w:r>
        <w:t>Da kein begründeter Antrag um Zusprechung der Mehrwertsteuer ge- stellt wurde, wird diese aufgrund des per 1. Januar 2019 geänderten Art. 29 HonO nicht zum Honorar hinzugerechnet.</w:t>
      </w:r>
    </w:p>
    <w:p>
      <w:r>
        <w:rPr>
          <w:b/>
        </w:rPr>
        <w:t>E. 10.3</w:t>
      </w:r>
    </w:p>
    <w:p>
      <w:r>
        <w:t>Da der Rekurrent mit seinen Anträgen unterliegt, hat er von vornherein keinen Anspruch auf eine ausseramtliche Entschädigung. Sein Begehren ist deshalb abzuweisen. Entscheid 1.</w:t>
      </w:r>
    </w:p>
    <w:p>
      <w:r>
        <w:t>a) Der Rekurs der Erbengemeinschaft E.___ sel., bestehend aus A.___, Z.___, F.___, X.___, und G.___, W.___, wird zufolge Rückzugs abgeschrieben.</w:t>
      </w:r>
    </w:p>
    <w:p>
      <w:r>
        <w:t>b) Der Rekurs von A.___ wird abgewiesen.</w:t>
      </w:r>
    </w:p>
    <w:p>
      <w:r>
        <w:t>Entscheid des Bau- und Umweltdepartementes SG (Nr. 73/2023), Seite 16/16</w:t>
      </w:r>
    </w:p>
    <w:p>
      <w:r>
        <w:t>2.</w:t>
      </w:r>
    </w:p>
    <w:p>
      <w:r>
        <w:t>a) A.___ wird eine Entscheidgebühr von Fr. 3'000.– auferlegt.</w:t>
      </w:r>
    </w:p>
    <w:p>
      <w:r>
        <w:t>b) Der am 20. Januar 2023 von A.___ geleistete Kostenvorschuss von Fr. 1'800.– wird angerechnet.</w:t>
      </w:r>
    </w:p>
    <w:p>
      <w:r>
        <w:t>3.</w:t>
      </w:r>
    </w:p>
    <w:p>
      <w:r>
        <w:t>a) Das Begehren von B.___ und C.___, beide Z.___, um Ersatz der ausseramtlichen Kosten wird gutgeheissen. A.___ entschädigt B.___ und C.___ mit insgesamt Fr. 2'750.–.</w:t>
      </w:r>
    </w:p>
    <w:p>
      <w:r>
        <w:t>b) Das Begehren von A.___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