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22-817 vom 11. Mai 2022</w:t>
      </w:r>
    </w:p>
    <w:p>
      <w:r>
        <w:t>SG Gerichte, 2022-05-11, DE</w:t>
      </w:r>
    </w:p>
    <w:p>
      <w:r>
        <w:rPr>
          <w:b/>
        </w:rPr>
        <w:t xml:space="preserve">Quelle: </w:t>
      </w:r>
      <w:r>
        <w:t>https://mcp.opencaselaw.ch/entscheid/sg_publikationen_22-817</w:t>
      </w:r>
    </w:p>
    <w:p>
      <w:r>
        <w:t>FR: SG_PUBLIKATIONEN 22-817 du 11 mai 2022</w:t>
      </w:r>
    </w:p>
    <w:p>
      <w:r>
        <w:t>IT: SG_PUBLIKATIONEN 22-817 del 11 maggio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Zu prüfen ist die Rekursberechtigung, nachdem die Vorinstanz diese Frage in den angefochtenen Entscheiden offengelas- sen hat und sie im Rekursverfahren – zusammen mit der Rekursgeg- nerin – anzweifelt.</w:t>
      </w:r>
    </w:p>
    <w:p>
      <w:r>
        <w:rPr>
          <w:b/>
        </w:rPr>
        <w:t>E. 1.2.1</w:t>
      </w:r>
    </w:p>
    <w:p>
      <w:r>
        <w:t>Kantonalrechtlich ist nach Art. 45 Abs. 1 VRP zur Erhebung ei- nes Rekurses berechtigt, wer an der Änderung oder Aufhebung der Verfügung oder des Entscheids ein eigenes schutzwürdiges Interesse dartut.</w:t>
      </w:r>
    </w:p>
    <w:p>
      <w:r>
        <w:t>Entscheid des Bau- und Umweltdepartementes SG (Nr. 41/2022), Seite 6/12</w:t>
      </w:r>
    </w:p>
    <w:p>
      <w:r>
        <w:rPr>
          <w:b/>
        </w:rPr>
        <w:t>E. 1.2.2</w:t>
      </w:r>
    </w:p>
    <w:p>
      <w:r>
        <w:t>Das Bundesgericht verlangt neben der formellen Beschwer, dass der Beschwerdeführende über eine spezifische Beziehungsnähe zur Streitsache verfügt und einen praktischen Nutzen aus der Aufhe- bung oder Änderung des angefochtenen Entscheids zieht. Die Nähe der Beziehung zum Streitgegenstand muss bei Bauprojekten insbe- sondere in räumlicher Hinsicht gegeben sein. Ein schutzwürdiges In- teresse liegt vor, wenn die tatsächliche oder rechtliche Situation des Beschwerdeführers durch den Ausgang des Verfahrens beeinflusst werden kann. 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 chen Anlage hervorruft. Als wichtiges Kriterium zur Beurteilung der Be- troffenheit dient in der Praxis die räumliche Distanz zum Bauvorhaben bzw. zur Anlage. Die Rechtsprechung bejaht in der Regel die Legiti- mation von Nachbarn, deren Liegenschaften sich in einem Umkreis von bis zu rund 100 m befinden. Bei grösseren Entfernungen muss eine Beeinträchtigung aufgrund der konkreten Gegebenheiten glaub- haft gemacht werden. Allerdings wurde stets betont, dass nicht sche- matisch auf einzelne Kriterien (insbesondere Distanzwerte) abgestellt werden dürfe, sondern eine Gesamtwürdigung anhand der konkreten Verhältnisse erforderlich sei (Urteil des Bundesgerichtes 1C_11/2021 vom 15. Dezember 2021 Erw. 1.5 mit Hinweisen). Wird etwa vorbeste- hender Lärm durch eine Anlage oder deren Zubringerverkehr ver- stärkt, so bejaht das Bundesgericht die Legitimation, wenn die Zu- nahme deutlich wahrnehmbar ist; dies wird anhand von qualitativen (Art des Verkehrsgeräuschs) und quantitativen Kriterien (Erhöhung des Lärmpegels) beurteilt (BGE 136 II 281 Erw. 2.3.2 mit Hinweisen und Erw. 2.5.4). Im Urteil 1C_405/2008 vom 18. März 2009 (Erw. 2.5, in: URP 2010 S. 295) verneinte das Bundesgericht die Beschwerde- befugnis gegen ein Spielcasino, weil sich der dadurch induzierte Mehr- verkehr nicht einzelnen Strassen oder Strassenabschnitten zuordnen lasse; dessen Immissionen vermischten sich mit dem allgemeinen Strassenlärm in der Innenstadt und seien kaum mehr als eigenstän- dige Belastung wahrnehmbar. Im Urteil 1C_204/2012 vom 25. April 2013 (Erw. 8, in: URP 2013 S. 749) verneinte es die Legitimation des 680 m vom projektierten Stadion mit Einkaufszentrum entfernt woh- nenden Beschwerdeführers: Zwar werde das geplante Vorhaben an- gesichts seiner zentralen Lage Auswirkungen auf das gesamte Stras- sennetz der Stadt Aarau haben und daher auch auf der angrenzenden (verkehrsberuhigten) Quartierstrasse einen gewissen Mehrverkehr verursachen. Dieser sei jedoch zu gering und zu wenig eindeutig den geplanten Nutzungen zuzurechnen, um eine besondere Betroffenheit des Beschwerdeführers zu begründen.</w:t>
      </w:r>
    </w:p>
    <w:p>
      <w:r>
        <w:rPr>
          <w:b/>
        </w:rPr>
        <w:t>E. 1.2.3</w:t>
      </w:r>
    </w:p>
    <w:p>
      <w:r>
        <w:t>Vorliegend sind die Grundstücke der Rekurrentin etwa 1,5 km Luftlinie vom Plangebiet und den Baugrundstücken entfernt:</w:t>
      </w:r>
    </w:p>
    <w:p>
      <w:r>
        <w:t>Entscheid des Bau- und Umweltdepartementes SG (Nr. 41/2022), Seite 7/12</w:t>
      </w:r>
    </w:p>
    <w:p>
      <w:r>
        <w:t>Folglich müsste die Rekurrentin eine Beeinträchtigung aufgrund der konkreten Gegebenheiten glaubhaft machen, um als rekursberechtigt angesehen werden zu können. Es ist unbestritten, dass der Knoten M.___strasse/N.___strasse schon heute überlastet ist und deshalb in Zukunft ausgebaut werden muss. Bereits im Entscheid BDE Nr. 56/2020 vom 23. Juni 2020 hatte das Baudepartement erwogen, dass das damals zu beurteilende Plangebiet des C.___, das unmittel- bar an den besagten Knoten angrenzt und in dem sich die Grundstü- cke der heutigen Rekurrentin befinden, "heute und (ohne Ausbau) auch in Zukunft über keine hinreichende Erschliessung" verfüge. Aus den (damals vorhandenen) Verkehrsgutachten ergebe sich, dass der Knoten M.___strasse/N.___strasse nicht über einen genügenden Aus- bau verfüge, um den zu erwartenden Mehrverkehr aus dem Plangebiet abwickeln zu können (Erw. 8.6). Weiter ist den Verfahrensbeteiligten bekannt, dass das am 19. März 2017 von den Stimmbürgern von Z.___ abgelehnte Kantonsstrassenprojekt "M.___strasse, Abschnitt Q.___weg bis N.___strasse" einen Kantonsstrassenausbau u.a. im Bereich des Knotens M.___strasse/N.___strasse vorgesehen hatte. Vom geplanten Ausbau der M.___- und der N.___strasse im besagten Knotenbereich wären die im damals zu beurteilenden Gestaltungsplan festgelegten ober- und unterirdischen Baubereiche massgeblich be- troffen gewesen. Teile der unterirdischen Tiefgarage wären sowohl un- ter der Kantons- als auch unter der Gemeindestrasse zu liegen ge- kommen; zudem hätten die Baubereiche A und C des Gestaltungs- plans (nach dem Strassenausbau) nur mehr einen sehr geringen Kan- tonsstrassenabstand eingehalten, was sich wiederum negativ auf die Einhaltung der Lärmgrenzwerte ausgewirkt hätte. Aufgrund dieser Ausgangslage erwog das Baudepartement damals weiter, dass der zu beurteilende Gestaltungsplan und das Kantonsstrassenprojekt zwin- gend miteinander zu koordinieren gewesen wären (Erw. 8.9.3).</w:t>
      </w:r>
    </w:p>
    <w:p>
      <w:r>
        <w:rPr>
          <w:b/>
        </w:rPr>
        <w:t>E. 1.2.4</w:t>
      </w:r>
    </w:p>
    <w:p>
      <w:r>
        <w:t>Die Auffassung der Rekurrentin, der Ausbaubedarf des ohnehin schon überlasteten Knotens sei umso grösser, je mehr zusätzlicher Verkehr zwischenzeitlich über die N.___strasse auf diesen Knoten ge- leitet werde, trifft nicht zu. Bereits in Erw. 8.8 des Entscheids Nr. 56/2020 vom 23. Juni 2020 war das Baudepartement davon ausgegangen, dass der künftige Ausbau des Knotens M.___strasse/N.___strasse auf den "Endzustand" ausgerichtet sein müsse. Für den Ausbau dürfe also nicht nur auf das (damals geplante) C.___, sondern es müsse zwingend auch auf das zu erwartende künf- tige Verkehrsaufkommen auf der gesamten N.___strasse und damit auf die weitere Siedlungsentwicklung südlich des C.___ abgestellt werden, weil dieses ganze Gebiet künftig über die N.___strasse in die M.___strasse erschlossen werden müsse. Namentlich die Gebiete "R.__", "N.___", "S.___" und "T.___" seien bereits heute im Wesentli- chen der Bauzone zugewiesen, ihre Überbauung sei damit jederzeit möglich und die Erschliessung habe auch zwingend über die N.___strasse zum Knoten M.___strasse/N.___strasse zu erfolgen. Genau aus diesem Grund hatte bereits das im Jahr 2017 abgelehnte Kantonsstrassenprojekt diesen "Endzustand" berücksichtigt, weshalb</w:t>
      </w:r>
    </w:p>
    <w:p>
      <w:r>
        <w:t>Entscheid des Bau- und Umweltdepartementes SG (Nr. 41/2022), Seite 8/12</w:t>
      </w:r>
    </w:p>
    <w:p>
      <w:r>
        <w:t>sich die von der Rekurrentin künftig an den Strassenausbau abzutre- tende Landfläche auch nicht vergrössern wird, wenn zwischenzeitlich bereits einzelne Grundstücke in diesem Gebiet neu überbaut oder be- stehende Überbauungen verdichtet werden. Der von solchen Über- bauungen ausgehende Zusatz- oder Mehrverkehr ist für den künftigen Strassenausbau im Bereich des Knotens M.___strasse/N.___strasse nicht von Bedeutung, weil er ohnehin im Rahmen der Gesamtbetrach- tung des "Endzustands" bereits in das frühere Strassenbauprojekt ein- gepriesen war und auch in ein künftiges wieder eingerechnet werden muss. Das derzeitige Unterbinden von Zusatzverkehr aus den Gebie- ten "R.___", "N.___", "S.___" und "T.___" würde die Landabtretungs- pflicht der Rekurrentin in einem künftigen Strassenplanverfahren somit nicht reduzieren und kann ihr deshalb auch in diesem Verfahren kei- nen praktischen Nutzen verschaffen.</w:t>
      </w:r>
    </w:p>
    <w:p>
      <w:r>
        <w:rPr>
          <w:b/>
        </w:rPr>
        <w:t>E. 1.2.5</w:t>
      </w:r>
    </w:p>
    <w:p>
      <w:r>
        <w:t>Die Argumentation der Rekurrentin, der aus dem Bauvorhaben resultierende Mehrverkehr führe für sie zu zusätzlichen Immissionen am ohnehin schon überlasteten Knoten, scheint gesucht. Ein allfälliger Mehrverkehr des geplanten Bauvorhabens, welcher über den Knoten M.___strasse/N.___strasse abgewickelt würde, hätte nach der zitier- ten bundesgerichtlichen Rechtsprechung auf jeden Fall keine beson- dere Betroffenheit der Rekurrentin zur Folge. Vielmehr würden sich allfällige (zusätzliche) Immissionen mit dem allgemeinen Strassenlärm vermischen und wären nicht als eigenständige Belastung wahrnehm- bar. Ein allfälliger Mehrverkehr beim massgebenden Knoten wäre so- mit zu gering und zu wenig eindeutig dem Bauvorhaben zuzurechnen, um eine besondere Betroffenheit der Rekurrentin zu begründen. Unter diesen Umständen ist die Rekursberechtigung der Rekurrentin zu ver- neinen.</w:t>
      </w:r>
    </w:p>
    <w:p>
      <w:r>
        <w:rPr>
          <w:b/>
        </w:rPr>
        <w:t>E. 1.2.6</w:t>
      </w:r>
    </w:p>
    <w:p>
      <w:r>
        <w:t>Im Hinblick auf den erst kürzlich in vergleichbarer Angelegen- heit, ebenfalls von der Rekurrentin, anhängig gemachten Rekurs (Ver- fahren Nr. 21-8318, abgeschlossen durch BUDE Nr. 11/2022 vom</w:t>
      </w:r>
    </w:p>
    <w:p>
      <w:r>
        <w:rPr>
          <w:b/>
        </w:rPr>
        <w:t>E. 3</w:t>
      </w:r>
    </w:p>
    <w:p>
      <w:r>
        <w:t>Zusammenfassend ergibt sich somit, dass auf den Rekurs nicht einzu- treten ist.</w:t>
      </w:r>
    </w:p>
    <w:p>
      <w:r>
        <w:rPr>
          <w:b/>
        </w:rPr>
        <w:t>E. 3.1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Rekurrentin zu überbinden.</w:t>
      </w:r>
    </w:p>
    <w:p>
      <w:r>
        <w:rPr>
          <w:b/>
        </w:rPr>
        <w:t>E. 3.2</w:t>
      </w:r>
    </w:p>
    <w:p>
      <w:r>
        <w:t>Der vom Vertreter der Rekurrentin am 4. März 2022 geleistete Kostenvorschuss von Fr. 1'800.– ist anzurechnen.</w:t>
      </w:r>
    </w:p>
    <w:p>
      <w:r>
        <w:rPr>
          <w:b/>
        </w:rPr>
        <w:t>E. 4</w:t>
      </w:r>
    </w:p>
    <w:p>
      <w:r>
        <w:t>Rekurrentin, Rekursgegnerin und Vorinstanz stellen ein Begehren um Ersatz der ausseramtlichen Kosten.</w:t>
      </w:r>
    </w:p>
    <w:p>
      <w:r>
        <w:rPr>
          <w:b/>
        </w:rPr>
        <w:t>E. 4.1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4.2</w:t>
      </w:r>
    </w:p>
    <w:p>
      <w:r>
        <w:t>Da die Rekurrentin mit ihren Anträgen unterliegt, hat sie von vornherein keinen Anspruch auf eine ausseramtliche Entschädigung. Ihr Begehren ist deshalb abzuweisen.</w:t>
      </w:r>
    </w:p>
    <w:p>
      <w:r>
        <w:rPr>
          <w:b/>
        </w:rPr>
        <w:t>E. 4.3</w:t>
      </w:r>
    </w:p>
    <w:p>
      <w:r>
        <w:t>Die Rekursgegnerin obsiegt mit ihren Anträgen. Da das Verfah- ren zudem in tatsächlicher und rechtlicher Hinsicht Schwierigkeiten bot, die den Beizug einer Rechtsvertreterin rechtfertigen, besteht grundsätzlich Anspruch auf eine ausseramtliche Entschädigung (Art. 98bis VRP). Weil keine Kostennote vorliegt, ist die ausseramtliche Entschädigung in Anwendung von Art. 6 in Verbindung mit Art. 22 der</w:t>
      </w:r>
    </w:p>
    <w:p>
      <w:r>
        <w:t>Entscheid des Bau- und Umweltdepartementes SG (Nr. 41/2022), Seite 12/12</w:t>
      </w:r>
    </w:p>
    <w:p>
      <w:r>
        <w:t>Honorarordnung (sGS 963.75; abgekürzt HonO) ermessensweise auf Fr. 2'750.– festzulegen; sie ist von der Rekurrentin zu bezahlen. Da kein begründeter Antrag um Zusprechung der Mehrwertsteuer gestellt wurde, wird diese aufgrund des per 1. Januar 2019 geänderten Art. 29 HonO nicht zum Honorar hinzugerechnet.</w:t>
      </w:r>
    </w:p>
    <w:p>
      <w:r>
        <w:rPr>
          <w:b/>
        </w:rPr>
        <w:t>E. 4.4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