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22-7472 vom 18. Dezember 2023</w:t>
      </w:r>
    </w:p>
    <w:p>
      <w:r>
        <w:t>SG Gerichte, 2023-12-18, DE</w:t>
      </w:r>
    </w:p>
    <w:p>
      <w:r>
        <w:rPr>
          <w:b/>
        </w:rPr>
        <w:t xml:space="preserve">Quelle: </w:t>
      </w:r>
      <w:r>
        <w:t>https://mcp.opencaselaw.ch/entscheid/sg_publikationen_22-7472</w:t>
      </w:r>
    </w:p>
    <w:p>
      <w:r>
        <w:t>FR: SG_PUBLIKATIONEN 22-7472 du 18 décembre 2023</w:t>
      </w:r>
    </w:p>
    <w:p>
      <w:r>
        <w:t>IT: SG_PUBLIKATIONEN 22-7472 del 18 dicembre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 auf- gehoben worden (Art. 172 Bst. a PBG). Der erstinstanzliche Beschluss erging am 13. September 2022. Mithin sind vorliegend grundsätzlich</w:t>
      </w:r>
    </w:p>
    <w:p>
      <w:r>
        <w:t>Entscheid des Bau- und Umweltdepartementes SG (Nr. 112/2023), Seite 7/13</w:t>
      </w:r>
    </w:p>
    <w:p>
      <w:r>
        <w:t>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rügt, die von der Vorinstanz ergriffenen Massnahmen zur Wiederherstellung des rechtmässigen Zustands (Benützungsver- bot unter Strafandrohung nach Art. 292 StGB) seien ungenügend. Es müssten zumindest jene Rückbaumassnahmen verfügt und durchge- setzt werden, die gewährleisteten, dass die Räume im Untergeschoss objektiv nicht mehr als zusätzliche Wohneinheit genutzt werden könn- ten.</w:t>
      </w:r>
    </w:p>
    <w:p>
      <w:r>
        <w:rPr>
          <w:b/>
        </w:rPr>
        <w:t>E. 3.1</w:t>
      </w:r>
    </w:p>
    <w:p>
      <w:r>
        <w:t>Die Rekursgegner und die Vorinstanz wenden dagegen ein, zusätzlich zum Benützungsverbot Rückbaumassnahmen zu verfügen, wäre nicht verhältnismässig.</w:t>
      </w:r>
    </w:p>
    <w:p>
      <w:r>
        <w:rPr>
          <w:b/>
        </w:rPr>
        <w:t>E. 3.2</w:t>
      </w:r>
    </w:p>
    <w:p>
      <w:r>
        <w:t>Die Anordnung der Wiederherstellung des rechtmässigen Zustands stellt eine Eigentumsbeschränkung dar. Sie ist verfassungsrechtlich nur zulässig, wenn sie gemäss Art. 36 der Bundesverfassung (SR 101; abgekürzt BV) auf einer gesetzlichen Grundlage beruht, im öffentlichen Interesse liegt und verhältnismässig ist.</w:t>
      </w:r>
    </w:p>
    <w:p>
      <w:r>
        <w:rPr>
          <w:b/>
        </w:rPr>
        <w:t>E. 3.2.1</w:t>
      </w:r>
    </w:p>
    <w:p>
      <w:r>
        <w:t>Nach Art. 159 Abs. 1 PBG kann die zuständige Gemeindebehörde die Entfernung oder Abänderung rechtswidrig erstellter Bauten und Anlagen sowie die Wiederherstellung des früheren Zustands verfügen, wenn die Ausführung den gesetzlichen Vorschriften oder den genehmigten Plänen widerspricht oder sonst ein unrechtmässiger Zustand geschaffen wird. Voraussetzung einer Wie- derherstellungsverfügung ist in jedem Fall die formelle und materielle Rechtswidrigkeit der betreffenden baulichen Massnahme (BDE Nr. 64/2019 vom 10. Oktober 2019 Erw. 9.1).</w:t>
      </w:r>
    </w:p>
    <w:p>
      <w:r>
        <w:rPr>
          <w:b/>
        </w:rPr>
        <w:t>E. 3.2.2</w:t>
      </w:r>
    </w:p>
    <w:p>
      <w:r>
        <w:t>An der Wiederherstellung des rechtmässigen Zustands besteht ein grosses öffentliches Interesse. Der Wiederherstellung des rechtmässigen Zustands kommt massgebendes Gewicht für den ordnungsgemässen Vollzug des Baurechts zu. Werden widerrechtli- che Bauten nicht beseitigt, sondern auf unabsehbare Zeit geduldet, wird rechtswidriges Verhalten belohnt. Grundeigentümerinnen und Grundeigentümer, die sich über geltende Vorschriften und Bewilligungen hinwegsetzen, sollen nicht bessergestellt werden als diejenigen, die den vorgeschriebenen Verfahrensweg einschlagen und sich an die entsprechenden Vorschriften halten (BDE Nr. 61/2020 vom 10. Juli 2020 Erw. 6.3). Können Bauten und Anlagen aufgrund materieller Rechtswidrigkeit auch nachträglich nicht legalisiert werden, müssen diese daher grundsätzlich beseitigt werden (vgl. VerwGE</w:t>
      </w:r>
    </w:p>
    <w:p>
      <w:r>
        <w:t>Entscheid des Bau- und Umweltdepartementes SG (Nr. 112/2023), Seite 8/13</w:t>
      </w:r>
    </w:p>
    <w:p>
      <w:r>
        <w:t>B 2016/38 vom 12. März 2018 Erw. 7.3, vgl. auch BGE 136 II 359 Erw. 6 mit Hinweisen).</w:t>
      </w:r>
    </w:p>
    <w:p>
      <w:r>
        <w:rPr>
          <w:b/>
        </w:rPr>
        <w:t>E. 3.2.3</w:t>
      </w:r>
    </w:p>
    <w:p>
      <w:r>
        <w:t>Das Verhältnismässigkeitsprinzip besagt, dass die Grund- rechtseinschränkung zur Erreichung des angestrebten Ziels geeignet und erforderlich und dem Betroffenen in Anbetracht der Schwere der Grundrechtseinschränkung zumutbar sein muss (BGE 128 I 1 Erw. 3e/cc mit Hinweisen; Urteil des Bundesgerichtes 1C_37/2013 vom 9. Oktober 2013 Erw. 6.6.1). Eine Wiederherstellungsanordnung erweist sich dann als unverhältnismässig, wenn die Abweichung vom Gesetz gering ist und die berührten allgemeinen Interessen den Scha- den, der dem Eigentümer durch die Wiederherstellung entstünde, nicht zu rechtfertigen vermögen (Urteil des Bundesgerichtes 1C_397/2007 vom 27. Mai 2008 Erw. 3.4).</w:t>
      </w:r>
    </w:p>
    <w:p>
      <w:r>
        <w:rPr>
          <w:b/>
        </w:rPr>
        <w:t>E. 3.2.4</w:t>
      </w:r>
    </w:p>
    <w:p>
      <w:r>
        <w:t>Die Anordnung des Abbruchs bereits erstellter Bauten und Anlagen kann aus verfassungsrechtlichen Gründen weiter unzulässig sein, wenn Gründe des Vertrauensschutzes der Wiederherstellung entgegenstehen oder diese aufgrund des Zeitablaufs verwirkt ist. Auf den Vertrauensschutz kann sich nur berufen, wer in gutem Glauben annahm und unter Anwendung zumutbarer Sorgfalt annehmen durfte, die von ihm ausgeübte Nutzung sei rechtmässig beziehungsweise stehe mit der Baubewilligung im Einklang (BGE 136 II 359 Erw. 6 und 7.1; Urteil des Bundesgerichtes 1C_171/2017 vom 3. Oktober 2017 Erw. 4.1 mit Hinweisen; VerwGE B 2016/38 vom 12. März 2018 Erw. 7.3., vgl. auch Urteil des Bundesgerichtes 1P.74/2003 vom 14. Juli 2003 Erw. 4.1). Gemäss Bundesgericht darf vorausgesetzt werden, dass die grundsätzliche Bewilligungspflicht für Bauvorhaben allgemein bekannt ist. Zwar kann sich grundsätzlich auch die Bauherr- schaft, die nicht gutgläubig gehandelt hat, gegenüber einem Abbruch- oder Wiederherstellungsbefehl auf den Grundsatz der Verhältnismäs- sigkeit berufen. Sie muss indessen in Kauf nehmen, dass die Behör- den aus grundsätzlichen Erwägungen, nämlich zum Schutz der Rechtsgleichheit und der baurechtlichen Ordnung, dem Interesse an der Wiederherstellung des rechtmässigen Zustands erhöhtes Gewicht beimessen und die der Bauherrschaft erwachsenden Nachteile nicht oder nur in verringertem Mass berücksichtigen (Urteil des Bundesge- richtes 1C_347/2017 vom 23. März 2018 Erw. 6.3; BGE 132 II 21 Erw. 6.4; Urteil des Bundesgerichtes 1C_179/2013 vom 15. August 2013 Erw. 5.3; BUDE Nr. 24/2022 vom 16. März 2022 Erw. 3.7).</w:t>
      </w:r>
    </w:p>
    <w:p>
      <w:r>
        <w:rPr>
          <w:b/>
        </w:rPr>
        <w:t>E. 3.3</w:t>
      </w:r>
    </w:p>
    <w:p>
      <w:r>
        <w:t>Das Bau- und Umweltdepartement hat über die materielle Rechtswidrigkeit der Einliegerwohnung mit Entscheid Nr. 40/2022 vom 2. Mai 2022 bereits rechtskräftig entschieden und diese bejaht. Na- mentlich wurde mit diesem Entscheid festgestellt, dass ohne rechts- kräftige Baubewilligung eine Einliegerwohnung erstellt wurde, welche gegen die geltenden Bauvorschriften (Art. 24 BauR) verstösst.</w:t>
      </w:r>
    </w:p>
    <w:p>
      <w:r>
        <w:rPr>
          <w:b/>
        </w:rPr>
        <w:t>E. 3.4</w:t>
      </w:r>
    </w:p>
    <w:p>
      <w:r>
        <w:t>In der Folge hat die Vorinstanz als Wiederherstellungsmass- nahme ein Nutzungsverbot verfügt. Dieses wurde nicht angefochten. Fraglich ist nun, ob dieses Nutzungsverbot zur Wiederherstellung des</w:t>
      </w:r>
    </w:p>
    <w:p>
      <w:r>
        <w:t>Entscheid des Bau- und Umweltdepartementes SG (Nr. 112/2023), Seite 9/13</w:t>
      </w:r>
    </w:p>
    <w:p>
      <w:r>
        <w:t>rechtmässigen Zustands ausreicht oder ob – wie vom Rekurrenten verlangt – darüber hinaus Rückbaumassnahmen anzuordnen sind.</w:t>
      </w:r>
    </w:p>
    <w:p>
      <w:r>
        <w:rPr>
          <w:b/>
        </w:rPr>
        <w:t>E. 3.5</w:t>
      </w:r>
    </w:p>
    <w:p>
      <w:r>
        <w:t>Ein blosses Benützungsverbot genügt regelmässig nicht, um die Wiederherstellung des rechtmässigen Zustands definitiv zu erreichen. Abgesehen davon, dass damit auf unabsehbare Zeit gegen die Bau- vorschriften verstossen wird, wäre dessen Einhaltung ohne einen un- verhältnismässigen Aufwand gar nicht kontrollierbar und würde die Ka- pazität der Vollzugsbehörde bei weitem sprengen, selbst wenn diese ernsthaft darum bemüht wäre, die rechtskonforme Nutzung auch tat- sächlich durchzusetzen. Somit müssen zur Wiederherstellung des rechtmässigen Zustands gewöhnlich auch bauliche Massnahmen ver- fügt werden (Urteil des Bundesgerichtes 1C_135/2016 vom 1. Sep- tember 2016 Erw. 4; BUDE Nr. 24/2022 vom 16. März 2022 Erw. 3.9.2; BDE Nr. 61/2020 vom 10. Juli 2020 Erw. 5.2 und 6.4).</w:t>
      </w:r>
    </w:p>
    <w:p>
      <w:r>
        <w:rPr>
          <w:b/>
        </w:rPr>
        <w:t>E. 3.5.1</w:t>
      </w:r>
    </w:p>
    <w:p>
      <w:r>
        <w:t>Die Rekursgegner bestreiten nicht, dass die beiden Räume im Untergeschoss nach wie vor objektiv zur Nutzung als separate Woh- nung geeignet sind. Wie anlässlich des Augenscheins festgestellt, ist die Einliegerwohnung nur noch über einen separaten Eingang bzw. eine Aussentür zugänglich. Die Verbindungstür in den Flur des Unter- geschosses wurde verschlossen. Die Einliegerwohnung ist somit vom restlichen Wohnraum abgetrennt. Ebenfalls wurde anlässlich des Au- genscheins festgestellt, dass die Einliegerwohnung über eine eigene Küche verfügt. Dass die zwei betreffenden Räume im Untergeschoss objektiv eine eigenständige Wohneinheit darstellen, steht unabhängig von einer allfälligen Baubewilligungspflicht der einzelnen vorgenom- menen baulichen Arbeiten fest.</w:t>
      </w:r>
    </w:p>
    <w:p>
      <w:r>
        <w:rPr>
          <w:b/>
        </w:rPr>
        <w:t>E. 3.5.2</w:t>
      </w:r>
    </w:p>
    <w:p>
      <w:r>
        <w:t>Ein Nutzungsverbot betreffend einzelne Innenräume ist nur mit unverhältnismässigem Verwaltungsaufwand kontrollier- und durch- setzbar (vgl. oben Erw. 3.5 mit Hinweis u.a. auf Urteil des Bundesge- richtes 1C_135/2016 vom 1. September 2016 Erw. 4). Die Bauverwal- tung könnte eine Kontrolle jeweils nur nach vorheriger Terminabspra- che im Beisein der Rekursgegner oder einer Vertreterin oder eines Vertreters durchführen. Eine unangekündigte Kontrolle wäre somit nicht möglich. Das Nutzungsverbot ist daher wirkungslos. Damit erwei- sen sich Rückbaumassnahmen als erforderlich, um den rechtmässi- gen Zustand wiederherzustellen. Ein entsprechender baulicher Eingriff (z.B. Zumauern der eingebauten Verbindungstüre zwischen Wohn- und Abstellraum, Wiederherstellen des Zugangs zur übrigen Woh- nung) ist geeignet, die Nutzung als Einliegerwohnung zu unterbinden.</w:t>
      </w:r>
    </w:p>
    <w:p>
      <w:r>
        <w:rPr>
          <w:b/>
        </w:rPr>
        <w:t>E. 3.6</w:t>
      </w:r>
    </w:p>
    <w:p>
      <w:r>
        <w:t>Zu prüfen bleibt, ob Rückbaumassnahmen auch zumutbar sind. Die Vorinstanz beruft sich darauf, dass Rückbaumassnahmen ange- sichts des baldigen Wegfalls von Art. 24 BauR und der somit baldigen Bewilligungsfähigkeit unverhältnismässig wären.</w:t>
      </w:r>
    </w:p>
    <w:p>
      <w:r>
        <w:rPr>
          <w:b/>
        </w:rPr>
        <w:t>E. 3.6.1</w:t>
      </w:r>
    </w:p>
    <w:p>
      <w:r>
        <w:t>Die nachträgliche Baubewilligung vom 9. November 2021, mit der die Einhaltung sämtlicher Bauvorschriften bestätigt worden ist,</w:t>
      </w:r>
    </w:p>
    <w:p>
      <w:r>
        <w:t>Entscheid des Bau- und Umweltdepartementes SG (Nr. 112/2023), Seite 10/13</w:t>
      </w:r>
    </w:p>
    <w:p>
      <w:r>
        <w:t>wurde mit BUDE Nr. 40/2022 vom 2. Mai 2022 rechtskräftig aufgeho- ben.</w:t>
      </w:r>
    </w:p>
    <w:p>
      <w:r>
        <w:rPr>
          <w:b/>
        </w:rPr>
        <w:t>E. 3.6.2</w:t>
      </w:r>
    </w:p>
    <w:p>
      <w:r>
        <w:t>Die materielle Rechtswidrigkeit kann entgegen der Ansicht der Rekursgegnerin in naher Zukunft nicht mit Bestimmtheit behoben wer- den. Auch wenn das neue Baureglement der Gemeinde Z.___ keine Wohnhygienevorschriften mehr enthält, wie dies heute mit Art. 24 BauR der Fall ist, heisst das nicht, dass die Einliegerwohnung im Um- kehrschluss in naher Zukunft bewilligungsfähig sein wird. Es ist denk- bar, dass nach erfolgter öffentlicher Auflage des neuen Baureglements noch Bestimmungen geändert bzw. zusätzliche Vorschriften aufge- nommen werden. Wann der neue Zonenplan mit dem neuen Baureg- lement genehmigt und damit rechtskräftig wird, ist zum aktuellen Zeit- punkt nicht abschätzbar. Es ist wahrscheinlich, dass das Verfahren der Inkraftsetzung zumindest noch mehrere Monate beanspruchen wird. Solange kann nicht geprüft werden, ob die Einliegerwohnung in (na- her) Zukunft definitiv bewilligungsfähig sein wird. Es müsste nach dem Inkrafttreten des neuen Baureglements geprüft werden, ob die Einlie- gerwohnung sämtliche Regelbauvorschriften gemäss neuem Recht einhält.</w:t>
      </w:r>
    </w:p>
    <w:p>
      <w:r>
        <w:rPr>
          <w:b/>
        </w:rPr>
        <w:t>E. 3.6.3</w:t>
      </w:r>
    </w:p>
    <w:p>
      <w:r>
        <w:t>Die Rekursgegner machen geltend, Vorarbeiten zu noch nicht in Kraft getretenen Gesetzesentwürfen könnten bei der Auslegung be- rücksichtigt werden. Daneben spricht auch die Vorinstanz mit ihrer Ar- gumentation dem künftigen neuen Baureglement eine positive Vorwir- kung zu. Eine positive Vorwirkung liegt vor, wenn ein noch nicht in Kraft getretener Erlass (unter Vorbehalt seines Inkrafttretens) ange- wendet wird. Eine solche Vorwirkung widerspricht sowohl dem Ge- setzmässigkeitsprinzip als auch dem Grundsatz der Rechtssicherheit und ist daher grundsätzlich unzulässig (vgl. Baudepartement SG, Ju- ristische Mitteilungen 2005/III/8). Gemäss der bundesgerichtlichen Rechtsprechung können unter gewissen Umständen Vorarbeiten zu Rechtsänderungen bei der Auslegung bestehenden Rechts im Rah- men des Methodenpluralismus berücksichtigt werden. Dies setzt vor- aus, dass das geltende System mit der bevorstehenden Rechtsände- rung nicht grundsätzlich geändert und nur eine Konkretisierung des bestehenden Rechtszustands angestrebt wird oder Lücken des gel- tenden Rechts gefüllt werden (vgl. BGE 125 III 401 Erw. 2a; BGE 141 II 297 Erw. 5.5.3). Diese Voraussetzung ist vorliegend nicht erfüllt. Na- mentlich steht mit der Revision des Baureglements bzw. dem Wegfall der Hygienevorschriften (Art. 24 BauR) eine grundlegende Änderung bevor. Es handelt sich nicht lediglich um eine Konkretisierung oder Lü- ckenfüllung bezüglich einer bestehenden, offen formulierten Vor- schrift. Jedenfalls wäre auch bei einer Berücksichtigung des künftigen Wegfalls der Hygienevorschriften nach wie vor unklar, ob die Einlie- gerwohnung in naher Zukunft definitiv bewilligungsfähig sein wird (vgl. oben Erw. 3.6.2).</w:t>
      </w:r>
    </w:p>
    <w:p>
      <w:r>
        <w:rPr>
          <w:b/>
        </w:rPr>
        <w:t>E. 3.6.4</w:t>
      </w:r>
    </w:p>
    <w:p>
      <w:r>
        <w:t>Auch im Übrigen sind keine Gründe ersichtlich, weshalb Rück- baumassnahmen unverhältnismässig wären. Auf das Erforderliche be- schränkte Rückbaumassnahmen (vgl. die beispielhafte Aufzählung</w:t>
      </w:r>
    </w:p>
    <w:p>
      <w:r>
        <w:t>Entscheid des Bau- und Umweltdepartementes SG (Nr. 112/2023), Seite 11/13</w:t>
      </w:r>
    </w:p>
    <w:p>
      <w:r>
        <w:t>nachfolgend in Erw. 3.7.2) können als geringfügig bezeichnet werden. Das Interesse der Rekursgegner erschöpft sich im Wesentlichen in den nutzlosen Aufwendungen für die Bauteile und Bauarbeiten. Dieser Aufwand sollte sich im bescheidenen Rahmen bewegen. Die getätig- ten Investitionen allein sind für die Frage, ob sich ein Rückbau recht- fertige, ohne Belang (vgl. VerwGE B 2013/29 vom 27. August 2013 Erw. 6.3.1 mit Hinweisen). Dass diese Kosten unzumutbar sein sollten, machen die Rekursgegner allerdings auch gar nicht geltend. Die Zu- mutbarkeit von Rückbaumassnahmen ist damit gegeben.</w:t>
      </w:r>
    </w:p>
    <w:p>
      <w:r>
        <w:rPr>
          <w:b/>
        </w:rPr>
        <w:t>E. 3.6.5</w:t>
      </w:r>
    </w:p>
    <w:p>
      <w:r>
        <w:t>Somit ergibt sich, dass vorliegend Rückbaumassnahmen entge- gen der Ansicht der Vorinstanz und der Rekursgegner verhältnismäs- sig sind. Namentlich sind sie erforderlich, um die Nutzung der formell und materiell rechtswidrigen Einliegerwohnung objektiv und definitiv zu verhindern. An deren Anordnung besteht ein öffentliches Interesse, welches die privaten Interessen der Rekursgegener überwiegt.</w:t>
      </w:r>
    </w:p>
    <w:p>
      <w:r>
        <w:rPr>
          <w:b/>
        </w:rPr>
        <w:t>E. 3.7</w:t>
      </w:r>
    </w:p>
    <w:p>
      <w:r>
        <w:t>Als Nächstes sind konkrete Rückbaumassnahmen zu prüfen.</w:t>
      </w:r>
    </w:p>
    <w:p>
      <w:r>
        <w:rPr>
          <w:b/>
        </w:rPr>
        <w:t>E. 3.7.1</w:t>
      </w:r>
    </w:p>
    <w:p>
      <w:r>
        <w:t>Die Vorinstanz ist vorliegend von der Unverhältnismässigkeit von Rückbaumassnahmen ausgegangen. Konkrete, geeignete Rück- baumassnahmen hat sie folglich nicht angeordnet und – soweit er- sichtlich – auch nicht geprüft. Die Verhältnismässigkeit von Rückbau- massnahmen wird mit dem vorliegenden Entscheid nun aber bestätigt. Würde das Bau- und Umweltdepartement im Rahmen des vorliegen- den Rekursverfahrens als erste Instanz über Rückbaumassnahmen befinden, ginge den Rekursgegnern eine Instanz verloren. Es ist somit an der Vorinstanz, erstmals über konkrete Rückbaumassnahmen zu befinden. Die Streitsache ist daher zur Neubeurteilung, sprich zur Prü- fung und Anordnung geeigneter Rückbaumassnahmen, an die Vor- instanz zurückzuweisen.</w:t>
      </w:r>
    </w:p>
    <w:p>
      <w:r>
        <w:rPr>
          <w:b/>
        </w:rPr>
        <w:t>E. 3.7.2</w:t>
      </w:r>
    </w:p>
    <w:p>
      <w:r>
        <w:t>Aus prozessökonomischen Gründen ist darauf hinzuweisen, dass die konkreten Rückbaumassnahmen geeignet sein müssen, dass die Räume im Untergeschoss objektiv und dauerhaft nicht mehr als separate Wohneinheit genutzt werden können. Denkbar wäre bei- spielsweise das Zumauern der eingebauten Verbindungstür zwischen Wohn- und Abstellraum mit gleichzeitiger Öffnung der beiden ver- schlossenen Verbindungstüren vom Wohnraum in den Flur und vom Abstellraum in den Flur des Untergeschosses. Dass Rückbaumass- nahmen angeordnet werden müssen, bedeutet nicht zwangsläufig, dass sämtliche vorgenommenen Arbeiten rückgängig gemacht wer- den müssen. Bei der Auswahl der konkreten Rückbaumassnahmen ist weiter darauf zu achten, dass durch die Rückbaumassnahmen im Ver- gleich zum zuletzt rechtskräftig bewilligten Zustand (Baubewilligung vom 18. März 2008) keine zusätzliche anrechenbare Geschossfläche (Ausnützungsziffer; Art. 61 BauG) geschaffen wird.</w:t>
      </w:r>
    </w:p>
    <w:p>
      <w:r>
        <w:rPr>
          <w:b/>
        </w:rPr>
        <w:t>E. 4</w:t>
      </w:r>
    </w:p>
    <w:p>
      <w:r>
        <w:t>Entscheid des Bau- und Umweltdepartementes SG (Nr. 112/2023), Seite 12/13</w:t>
      </w:r>
    </w:p>
    <w:p>
      <w:r>
        <w:t>Zusammenfassend ergibt sich, dass die Vorinstanz zu Unrecht auf Rückbaumassnahmen verzichtet hat. Der Rekurs erweist sich als be- gründet und ist im Sinn der Erwägungen gutzuheissen. Die angefoch- tene Ziff. 3 des Entscheids des Gemeinderates Z.___ vom 13. Sep- tember 2022 ist deshalb aufzuheben und zur neuen Entscheidung im Sinn der Erwägungen zurückzuweisen.</w:t>
      </w:r>
    </w:p>
    <w:p>
      <w:r>
        <w:rPr>
          <w:b/>
        </w:rPr>
        <w:t>E. 5.1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Rekursgegner die amtlichen Kosten unter solidarischer Haftung zu bezahlen (Art. 96bis VRP).</w:t>
      </w:r>
    </w:p>
    <w:p>
      <w:r>
        <w:rPr>
          <w:b/>
        </w:rPr>
        <w:t>E. 5.2</w:t>
      </w:r>
    </w:p>
    <w:p>
      <w:r>
        <w:t>Der vom Rekurrenten am 14. November 2022 geleistete Kos- tenvorschuss von Fr. 1'800.– ist zurückzuerstatten.</w:t>
      </w:r>
    </w:p>
    <w:p>
      <w:r>
        <w:rPr>
          <w:b/>
        </w:rPr>
        <w:t>E. 6</w:t>
      </w:r>
    </w:p>
    <w:p>
      <w:r>
        <w:t>Der Rekurrent und die Rekursgegner stellen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3'250.–, zuzüglich die beantragten 4 % Barauslagen, insgesamt also auf Fr. 3'380.–, zuzüglich Mehrwertsteuer, festzulegen; sie ist von den Rekursgegnern zu gleichen Teilen zu bezahlen.</w:t>
      </w:r>
    </w:p>
    <w:p>
      <w:r>
        <w:rPr>
          <w:b/>
        </w:rPr>
        <w:t>E. 6.3</w:t>
      </w:r>
    </w:p>
    <w:p>
      <w:r>
        <w:t>Da die Rekursgegner mit ihren Anträgen unterliegen, haben sie von vornherein keinen Anspruch auf eine ausseramtliche Entschädi- gung. Ihr Begehren ist deshalb abzuweisen.</w:t>
      </w:r>
    </w:p>
    <w:p>
      <w:r>
        <w:t>Entscheid</w:t>
      </w:r>
    </w:p>
    <w:p>
      <w:r>
        <w:t>Entscheid des Bau- und Umweltdepartementes SG (Nr. 112/2023), Seite 13/13</w:t>
      </w:r>
    </w:p>
    <w:p>
      <w:r>
        <w:t>1.</w:t>
      </w:r>
    </w:p>
    <w:p>
      <w:r>
        <w:t>a) Der Rekurs von A.___, Z.___, wird im Sinn der Erwägungen gutgeheissen.</w:t>
      </w:r>
    </w:p>
    <w:p>
      <w:r>
        <w:t>b) Ziff. 3 des Beschlusses des Gemeinderates Z.___ vom 13. September 2022 wird aufgehoben. Die Streitsache wird zur neuen Entscheidung im Sinn der Erwägungen an den Gemeinderat Z.___ zurückgewiesen.</w:t>
      </w:r>
    </w:p>
    <w:p>
      <w:r>
        <w:t>2.</w:t>
      </w:r>
    </w:p>
    <w:p>
      <w:r>
        <w:t>a) B.___ und C.___, beide Z.___, bezahlen unter solidarischer Haf- tung eine Entscheidgebühr von Fr. 3'500.–.</w:t>
      </w:r>
    </w:p>
    <w:p>
      <w:r>
        <w:t>b) Der am 14. November 2022 von A.___ geleistete Kostenvor- schuss von Fr. 1'800.– wird zurückerstattet.</w:t>
      </w:r>
    </w:p>
    <w:p>
      <w:r>
        <w:t>3.</w:t>
      </w:r>
    </w:p>
    <w:p>
      <w:r>
        <w:t>a) Das Begehren von A.___ um Ersatz der ausseramtlichen Kos- ten wird gutgeheissen. B.___ und C.___ entschädigen A.___ zu glei- chen Teilen ausseramtlich mit Fr. 3'380.– zuzüglich Mehrwertsteuer.</w:t>
      </w:r>
    </w:p>
    <w:p>
      <w:r>
        <w:t>b) Das Begehren von B.___ und C.___ um Ersatz der ausseramt- 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