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22-441 vom 16. September 2022</w:t>
      </w:r>
    </w:p>
    <w:p>
      <w:r>
        <w:t>SG Gerichte, 2022-09-16, DE</w:t>
      </w:r>
    </w:p>
    <w:p>
      <w:r>
        <w:rPr>
          <w:b/>
        </w:rPr>
        <w:t xml:space="preserve">Quelle: </w:t>
      </w:r>
      <w:r>
        <w:t>https://mcp.opencaselaw.ch/entscheid/sg_publikationen_22-441</w:t>
      </w:r>
    </w:p>
    <w:p>
      <w:r>
        <w:t>FR: SG_PUBLIKATIONEN 22-441 du 16 septembre 2022</w:t>
      </w:r>
    </w:p>
    <w:p>
      <w:r>
        <w:t>IT: SG_PUBLIKATIONEN 22-441 del 16 settembre 2022</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PBG in Kraft getreten und das Baugesetz vom 6. Juni 1972 (nGS 8, 134; abgekürzt BauG) aufgehoben worden (Art. 172 Bst. a PBG). Gemäss Art. 44 Abs. 1 PBG werden für die Fest- legung von Planungszonen, einschliesslich der Verlängerung ihrer Geltungsdauer, die Bestimmungen über das Verfahren bei Erlass von Nutzungsplänen sachgemäss angewendet. Da die vorliegend ange- fochtene Planungszone nach dem Vollzugsbeginn des PBG erlassen wurde, gelangen somit grundsätzlich die Bestimmungen des PBG zur Anwendung, sofern sie gemäss Anhang zum Kreisschreiben "Über- gangsrechtliche Bestimmungen im PBG" vom 8. März 2017 (Baude- partement SG, Juristische Mitteilungen 2017/I/1) als unmittelbar an- wendbar erklärt werden.</w:t>
      </w:r>
    </w:p>
    <w:p>
      <w:r>
        <w:rPr>
          <w:b/>
        </w:rPr>
        <w:t>E. 3</w:t>
      </w:r>
    </w:p>
    <w:p>
      <w:r>
        <w:t>Die Rekurrentinnen machen geltend, die von der Vorinstanz erlassene Planungszone für nicht standortgebundene Mobilfunkanlagen sei, so- weit sie über die Wohnzonen hinausgehe, widerrechtlich.</w:t>
      </w:r>
    </w:p>
    <w:p>
      <w:r>
        <w:t>Entscheid des Bau- und Umweltdepartementes SG (Nr. 86/2022), Seite 5/10</w:t>
      </w:r>
    </w:p>
    <w:p>
      <w:r>
        <w:rPr>
          <w:b/>
        </w:rPr>
        <w:t>E. 3.1</w:t>
      </w:r>
    </w:p>
    <w:p>
      <w:r>
        <w:t>Nach Art. 175 Abs. 1 PBG hat die politische Gemeinde den Zo- nenplan und das Baureglement innert zehn Jahren seit Vollzugsbe- ginn des PBG bzw. bis Ende September 2027 an das neue Recht an- zupassen. Dabei sind nicht nur das neue PBG, sondern auch die ge- änderten planerischen Voraussetzungen des am 1. Mai 2014 revidier- ten RPG, die entsprechend geänderte eidgenössische Raumpla- nungsverordnung (SR 700.1; abgekürzt RPV) und der überarbeitete kantonale Richtplan, Teil Siedlung, zu beachten.</w:t>
      </w:r>
    </w:p>
    <w:p>
      <w:r>
        <w:rPr>
          <w:b/>
        </w:rPr>
        <w:t>E. 3.2</w:t>
      </w:r>
    </w:p>
    <w:p>
      <w:r>
        <w:t>Müssen Nutzungspläne angepasst werden, kann die zuständige Behörde für genau bezeichnete Gebiete Planungszonen bestimmen. Innerhalb der Planungszone darf nichts unternommen werden, was die Nutzungsplanung erschweren könnte (Art. 27 Abs. 1 RPG). Die Planungszone ist eine im Bundesrecht (Art. 27 RPG) vorgesehene vorsorgliche Massnahme, die dazu dient, die Planungs- und Entschei- dungsfreiheit der planenden Behörden zu sichern (B. DEILLON, in: Be- reuter/Frei/Ritter [Hrsg.], Kommentar zum Planungs- und Baugesetz des Kantons St.Gallen, Basel 2020, Art. 42 N 1). Die Festlegung einer Planungszone bewirkt im Rahmen des festgelegten Zwecks für den davon betroffenen Grundeigentümer eine Eigentumsbeschränkung (B. DEILLON, a.a.O, Art. 42 N 10). Sie darf nicht über das hinausgehen, was zur Erreichung des Sicherungsziels in räumlicher, sachlicher und zeitlicher Hinsicht erforderlich ist (BGE 133 II 353 Erw. 4.2).</w:t>
      </w:r>
    </w:p>
    <w:p>
      <w:r>
        <w:rPr>
          <w:b/>
        </w:rPr>
        <w:t>E. 3.3</w:t>
      </w:r>
    </w:p>
    <w:p>
      <w:r>
        <w:t>Auf kantonaler Ebene findet sich die entsprechende Regelung zur Planungszone in Art. 105 BauG bzw. neu in Art. 42 in Verbindung mit Art. 43 Bst. a PBG. Die Planungsbehörde legt dabei die Wirkung bzw. den Zweck der Planungszone fest (Art. 106 Abs. 2 BauG bzw. Art. 42 Abs. 2 PBG). Die Planungszone gilt während längstens drei Jahren, sie kann aber um zwei Jahre verlängert werden (Art. 107 BauG bzw. Art. 42 Abs. 3 PBG). Rechtskräftige Bewilligungen bleiben von der Planungszone unberührt. Die Baubehörde sistiert hängige Baugesuche für die Geltungsdauer der Planungszone, wenn das Bau- vorhaben dem Zweck der Planungszone widerspricht. Ist ein Bauge- such hängig, wird die Planungszone innert drei Monaten seit der Be- kanntmachung des Baugesuchs bezeichnet. Später bezeichnete Pla- nungszonen entfalten keine Wirkung für das Baugesuch (Art. 106 Abs. 1 BauG bzw. Art. 45 PBG).</w:t>
      </w:r>
    </w:p>
    <w:p>
      <w:r>
        <w:rPr>
          <w:b/>
        </w:rPr>
        <w:t>E. 3.4</w:t>
      </w:r>
    </w:p>
    <w:p>
      <w:r>
        <w:t>Die Vorinstanz hat angesichts der anstehenden Ortsplanungs- revision zur Standortplanung von Mobilfunkanlagen eine Planungs- zone für nicht standortgebundene Mobilfunkanlagen in den Wohnzo- nen, Wohn-Gewerbe-Zonen, Gewerbe-Industrie-Zonen, Kernzonen sowie im übrigen Gemeindegebiet erlassen. Wie sie im angefochtenen Beschluss grundsätzlich richtigerweise ausführt, ergibt sich die Mög- lichkeit des Erlasses einer Planungszone aus Art. 27 RPG bzw. Art. 42 PBG. Fraglich ist nun aber, ob es zulässig ist, die Planungszone für nicht standortgebundene Mobilfunkantennen über die genannten Bauzonen sowie das übrige Gemeindegebiet zu erlassen.</w:t>
      </w:r>
    </w:p>
    <w:p>
      <w:r>
        <w:t>Entscheid des Bau- und Umweltdepartementes SG (Nr. 86/2022), Seite 6/10</w:t>
      </w:r>
    </w:p>
    <w:p>
      <w:r>
        <w:rPr>
          <w:b/>
        </w:rPr>
        <w:t>E. 3.4.1</w:t>
      </w:r>
    </w:p>
    <w:p>
      <w:r>
        <w:t>Nach der bundesgerichtlichen Rechtsprechung sind die Kan- tone und Gemeinden grundsätzlich berechtigt, zum Schutz vor ideel- len Immissionen Vorschriften über Standorte von Mobilfunkanlagen zu erlassen (BGE 138 II 173 Erw. 7.4.3, S. 188 mit Hinweisen). Unter ideellen Immissionen von Mobilfunkantennen wird verstanden, dass bestimmte Nutzungen oder Anlagen in der Bevölkerung oder Teilen davon unangenehme psychische Eindrücke erwecken und dazu füh- ren, dass die Umgebung als unsicher, unästhetisch oder sonst uner- freulich empfunden wird. Die Begrenzung von Mobilfunkantennen in Wohngebieten erscheint daher grundsätzlich als geeignetes Mittel, Charakter und Attraktivität der Wohnzonen zu wahren. Nicht zu recht- fertigen vermögen solche subjektiven Ängste und Gefühle des Unbe- hagens hingegen weitgehende Einschränkungen oder gar ein Verbot von im allgemeinen Interesse liegenden Infrastrukturanlagen (Urteil des Bundesgerichtes 1C_451/2017 vom 30. Mai 2018 Erw. 2.5.2).</w:t>
      </w:r>
    </w:p>
    <w:p>
      <w:r>
        <w:rPr>
          <w:b/>
        </w:rPr>
        <w:t>E. 3.4.2</w:t>
      </w:r>
    </w:p>
    <w:p>
      <w:r>
        <w:t>Auch wenn die Steuerung der Festlegung von Antennenstand- orten mit raumplanerischen Mitteln grundsätzlich zulässig ist, darf die politische Gemeinde dies nur mit planerisch zweckmässigen Mass- nahmen tun. Eine zulässige planerische Massnahme kann die Nega- tivplanung sein, die in einem bestimmten schutzwürdigen Gebiet oder auf gewissen Schutzobjekten die Erstellung von Mobilfunkantennen untersagt. Denkbar sind auch positive Planungsmassnahmen, mit wel- chen besondere Zonen für Mobilfunksendeanlagen ausgewiesen wer- den, sofern es sich um Standorte handelt, die sich besonders gut eig- nen und eine genügende Versorgung durch alle Mobilfunkanbieter er- möglichen. Der Konzentration von Sendestandorten innerhalb des Siedlungsgebiets werden allerdings durch die Anlagegrenzwerte der eidgenössischen Verordnung über den Schutz vor nichtionisierender Strahlung (SR 814.710; abgekürzt NISV) enge Grenzen gesetzt, weil alle Mobilfunksendeantennen, die in einem engen räumlichen Zusam- menhang stehen, als eine Anlage gelten und gemeinsam den Anlage- grenzwert einhalten müssen (J. BEREUTER, in: Bereuter/Frei/Ritter [Hrsg.], Kommentar zum Planungs- und Baugesetz des Kantons St.Gallen, Basel 2020, Art. 12 N 10). Erlaubt ist sodann ein Kaskaden- modell, das Mobilfunkanlagen in erster Linie in den Arbeitszonen, in zweiter Linie in den übrigen (gemischten) Bauzonen und erst in dritter Priorität in den Wohnzonen zulässt (BGE 141 II 245 Erw. 7.1).</w:t>
      </w:r>
    </w:p>
    <w:p>
      <w:r>
        <w:rPr>
          <w:b/>
        </w:rPr>
        <w:t>E. 3.4.3</w:t>
      </w:r>
    </w:p>
    <w:p>
      <w:r>
        <w:t>Unabhängig vom kantonalen Recht ergibt sich aus dem funda- mentalen raumplanerischen Grundsatz der Trennung von Bau- und Nichtbaugebiet, dass Infrastrukturanlagen zur Erschliessung oder Ver- sorgung des Siedlungsgebiets grundsätzlich innerhalb und nicht aus- serhalb der Bauzonen errichtet werden müssen. Mobilfunkanlagen ausserhalb der Bauzone sind nicht zonenkonform und erfordern daher eine Ausnahmebewilligung nach Art. 24 RPG. Innerhalb der Bauzonen gelten sie als zonenkonform, soweit sie hinsichtlich Standort und Aus- gestaltung in einer unmittelbaren funktionellen Beziehung zum Ort ste- hen, an dem sie errichtet werden sollen, und im Wesentlichen Bauzo- nenland abdecken (Urteil des Bundesgerichtes 1C_451/2017 vom 30. Mai 2018 Erw. 2.2 f.).</w:t>
      </w:r>
    </w:p>
    <w:p>
      <w:r>
        <w:t>Entscheid des Bau- und Umweltdepartementes SG (Nr. 86/2022), Seite 7/10</w:t>
      </w:r>
    </w:p>
    <w:p>
      <w:r>
        <w:rPr>
          <w:b/>
        </w:rPr>
        <w:t>E. 3.4.4</w:t>
      </w:r>
    </w:p>
    <w:p>
      <w:r>
        <w:t>Bau- oder planungsrechtliche Vorschriften verfolgen öffentliche Interessen und müssen nebst den raumrelevanten Interessen im Zu- sammenhang mit Mobilfunkanlagen insbesondere den in der Fernmel- degesetzgebung konkretisierten öffentlichen Interessen hinreichend Rechnung tragen. Dabei handelt es sich um das Interesse an einer zuverlässigen und erschwinglichen Grundversorgung mit Fernmelde- diensten für alle Bevölkerungskreise, an qualitativ hochstehenden Fernmeldediensten und an einem funktionierenden Wettbewerb zwi- schen den Fernmeldedienstanbietern. Die Erfüllung des entsprechen- den Versorgungsauftrags der Mobilfunkbetreiber darf nicht vereitelt oder über Gebühr erschwert werden (BGE 141 II 245 Erw. 7.1).</w:t>
      </w:r>
    </w:p>
    <w:p>
      <w:r>
        <w:rPr>
          <w:b/>
        </w:rPr>
        <w:t>E. 3.4.5</w:t>
      </w:r>
    </w:p>
    <w:p>
      <w:r>
        <w:t>Die Vorinstanz beruft sich hinsichtlich der Zulässigkeit der erlas- senen Planungszone auf Art. 12 Abs. 1 Bst. b PBG (Wohnzonen) und Art. 15 Abs. 2 PBG (Kernzonen).</w:t>
      </w:r>
    </w:p>
    <w:p>
      <w:r>
        <w:rPr>
          <w:b/>
        </w:rPr>
        <w:t>E. 3.4.5.1</w:t>
      </w:r>
    </w:p>
    <w:p>
      <w:r>
        <w:t>Gemäss Art. 12 Abs. 1 Bst. b PBG können im Kanton St.Gallen die politischen Gemeinden die Errichtung von nicht auf den Standort angewiesenen Antennenanlagen in Wohnzonen ausschlies- sen. Die Bestimmung gilt ihrem Wortlaut nach explizit für Wohnzonen. In den nachfolgenden Artikeln 13 ff. PBG die anderen Zonenarten be- treffend findet sich keine vergleichbare Regelung, wonach Antennen- anlagen auch dort ausgeschlossen werden könnten (BDE Nr. 70/2019 vom 12. November 2019 Erw. 3.4).</w:t>
      </w:r>
    </w:p>
    <w:p>
      <w:r>
        <w:rPr>
          <w:b/>
        </w:rPr>
        <w:t>E. 3.4.5.2</w:t>
      </w:r>
    </w:p>
    <w:p>
      <w:r>
        <w:t>Gemäss Botschaft zum PBG orientiert sich die Regelung nach Art. 12 Abs. 1 Bst. b PBG an der Rechtsprechung des Bundes- gerichtes zum Kaskadenmodell (vgl. Botschaft und Entwurf der Regie- rung zum Planungs- und Baugesetz vom 11. August 2015, in: ABl 2015, S. 2436 [im Folgenden: Botschaft zum PBG] und zum Kas- kadenmodel vorstehend Erw. 3.4.2). Der St.Gallische Gesetzgeber hat mit Art. 12 Abs. 1 Bst. b PBG die Kaskade gemäss systematischer Auslegung und aufgrund des Umkehrschlusses beschränkt, indem die politischen Gemeinden Antennenanlagen, die nicht auf den Standort angewiesen sind, einzig in Wohnzonen ausschliessen dürfen (BDE Nr. 70/2019 vom 12. November 2019 Erw. 3.4.2). So wurde auch in der Botschaft zum PBG festgehalten, dass auf der Basis eines Kaska- denmodells die Gemeinden in überwiegend dem Wohnen dienenden Gebieten störende Infrastrukturbauten wie Mobilfunkantennen aus- schliessen können, wenn diese nicht der Versorgung der Wohnzone mit Mobilfunkdienstleistungen dienen (Botschaft zum PBG S. 2436). Diese Regelung hat zur Folge, dass die Gemeinden des Kantons St.Gallen in anderen als den Wohnzonen die Errichtung von nicht auf den Standort zwingend angewiesenen Mobilfunkantennen nicht ver- bieten können. Insbesondere in den Mischzonen, wozu namentlich Wohn-Gewerbe-Zonen sowie Kernzonen gehören, kann kein der Wohnzone vergleichbares Verbot ins kommunale Baureglement auf- genommen werden (J. BEREUTER, a.a.O. Art. 12 N 11). Das übrige Ge- meindegebiet nach Art. 21 BauG, welches eine Nichtbauzone ist, und die Gewerbe-Industrie-Zonen gemäss Art. 13 BauG, die auch Teil des</w:t>
      </w:r>
    </w:p>
    <w:p>
      <w:r>
        <w:t>Entscheid des Bau- und Umweltdepartementes SG (Nr. 86/2022), Seite 8/10</w:t>
      </w:r>
    </w:p>
    <w:p>
      <w:r>
        <w:t>Perimeters der Planungszone sind, dienen sodann nicht dem Wohnen und fallen deshalb zum vornherein nicht unter Art. 12 Abs. 1 Bst. b PBG.</w:t>
      </w:r>
    </w:p>
    <w:p>
      <w:r>
        <w:rPr>
          <w:b/>
        </w:rPr>
        <w:t>E. 3.4.5.3</w:t>
      </w:r>
    </w:p>
    <w:p>
      <w:r>
        <w:t>Vor diesem Hintergrund verfügt die Vorinstanz über keine Grundlage, um ein über die Wohnzone hinausgehendes Verbot für nicht standortgebundene Mobilfunkantennen zu erlassen. Insbeson- dere besteht somit auch kein Raum, gestützt auf Art. 15 Abs. 2 PBG eine Planungszone zu verfügen. Die kommunale Ortsplanung ist zwar – wie auch das AREG zu Recht aufführt – Sache der politischen Ge- meinden, weshalb der Kanton deren Ermessensspielraum bei der Orts- und Regionalplanung wahrt. Diese können ihr Ermessen aber nur innerhalb des Rahmens des übergeordneten kantonalen Rechts ausüben (BDE Nr. 70/2019 vom 12. November 2019 Erw. 3.4.2). Die Vorinstanz ist mit der erlassenen Planungszone über die Wohnzonen, Wohn-Gewerbe-Zonen, Kernzonen und Gewerbe-Industrie-Zonen so- wie das übrige Gemeindegebiet, die – wie erwähnt – eine öffentlich- rechtliche Eigentumsbeschränkung ist, über das hinausgegangen, was zur Erreichung des Sicherungsziels erforderlich ist. Im Übrigen bleibt anzumerken, dass der vorsorgliche Schutz für Massnahmen, die mit dem übergeordneten Recht oder der übergeordneten Planung im Widerspruch stehen, auch nicht im öffentlichen Interesse liegen kön- nen.</w:t>
      </w:r>
    </w:p>
    <w:p>
      <w:r>
        <w:rPr>
          <w:b/>
        </w:rPr>
        <w:t>E. 4</w:t>
      </w:r>
    </w:p>
    <w:p>
      <w:r>
        <w:t>Zusammenfassend ergibt sich, dass die angefochtene Planungszone unzulässig ist, weshalb sie aufzuheben ist. Der Rekurs erweist sich als begründet und ist im Sinn der Erwägungen gutzuheissen.</w:t>
      </w:r>
    </w:p>
    <w:p>
      <w:r>
        <w:rPr>
          <w:b/>
        </w:rPr>
        <w:t>E. 5.1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der Politischen Gemeinde Z.___ zu überbinden. Auf deren Erhebung ist jedoch zu verzichten (Art. 95 Abs. 3 VRP).</w:t>
      </w:r>
    </w:p>
    <w:p>
      <w:r>
        <w:rPr>
          <w:b/>
        </w:rPr>
        <w:t>E. 5.2</w:t>
      </w:r>
    </w:p>
    <w:p>
      <w:r>
        <w:t>Der von der D.__ AG, V.___, am 28. Januar 2022 geleistete Kostenvorschuss von Fr. 1'800.– ist zurückzuerstatten.</w:t>
      </w:r>
    </w:p>
    <w:p>
      <w:r>
        <w:rPr>
          <w:b/>
        </w:rPr>
        <w:t>E. 6</w:t>
      </w:r>
    </w:p>
    <w:p>
      <w:r>
        <w:t>Die Rekurrentinnen stellen ein Begehren um Ersatz der ausseramtli- chen Kosten.</w:t>
      </w:r>
    </w:p>
    <w:p>
      <w:r>
        <w:rPr>
          <w:b/>
        </w:rPr>
        <w:t>E. 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w:t>
      </w:r>
    </w:p>
    <w:p>
      <w:r>
        <w:t>Entscheid des Bau- und Umweltdepartementes SG (Nr. 86/2022), Seite 9/10</w:t>
      </w:r>
    </w:p>
    <w:p>
      <w:r>
        <w:t>Zivilprozessordnung (SR 272) finden sachgemäss Anwendung (Art. 98ter VRP).</w:t>
      </w:r>
    </w:p>
    <w:p>
      <w:r>
        <w:rPr>
          <w:b/>
        </w:rPr>
        <w:t>E. 6.2</w:t>
      </w:r>
    </w:p>
    <w:p>
      <w:r>
        <w:t>Die Rekurrentinnen obsiegen mit ihren Anträgen. Da das Ver- fahren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ermessensweise auf Fr. 2'750.– fest- zulegen; sie ist von von der Politischen Gemeinde Z.___ zu bezahlen.</w:t>
      </w:r>
    </w:p>
    <w:p>
      <w:r>
        <w:t>Weil die zu entschädigenden Rekurrentinnen selber mehrwertsteuer- pflichtig sind, können sie die der Honorarrechnung ihres Anwalts be- lastete Mehrwertsteuer von ihrer eigenen Steuerschuld abziehen, ohne dass ihnen dadurch eine Mehrbelastung entsteht. Daher muss die Mehrwertsteuer bei der Bemessung der ausseramtlichen Entschä- digung nicht zusätzlich berücksichtigt werden (R. HIRT, Die Regelung der Kosten nach st.gallischem Verwaltungsrechtspflegegesetz, La- chen/St.Gallen 2004, S. 194).</w:t>
      </w:r>
    </w:p>
    <w:p>
      <w:r>
        <w:t>Entscheid 1.</w:t>
      </w:r>
    </w:p>
    <w:p>
      <w:r>
        <w:t>a) Der Rekurs der A.___ GmbH, W.___, der B.___ SA, Y.___, und der C.___ AG, Y.___, wird im Sinn der Erwägungen gutgeheissen.</w:t>
      </w:r>
    </w:p>
    <w:p>
      <w:r>
        <w:t>b) Der Beschluss vom 3. März 2020 betreffend Planungszone und der Einspracheentscheid vom 21. Dezember 2021 des Gemeinderates Z.___ werden aufgehoben.</w:t>
      </w:r>
    </w:p>
    <w:p>
      <w:r>
        <w:t>2.</w:t>
      </w:r>
    </w:p>
    <w:p>
      <w:r>
        <w:t>a) Auf die Erhebung der amtlichen Kosten in der Höhe von Fr. 3'000.– bei der Politischen Gemeinde Z.___ wird verzichtet.</w:t>
      </w:r>
    </w:p>
    <w:p>
      <w:r>
        <w:t>b) Der am 28. Januar 2022 von der D.___ AG, V.___, geleistete Kostenvorschuss von Fr. 1'800.– wird zurückerstattet.</w:t>
      </w:r>
    </w:p>
    <w:p>
      <w:r>
        <w:t>3.</w:t>
      </w:r>
    </w:p>
    <w:p>
      <w:r>
        <w:t>Das Begehren der A.___ GmbH, der B.___ SA und der C.___ AG um Ersatz der ausseramtlichen Kosten wird gutgeheissen. Die Politische Gemeinde Z.___ entschädigt die Rekurrentinnen mit insgesamt Fr. 2'750.–.</w:t>
      </w:r>
    </w:p>
    <w:p>
      <w:r>
        <w:t>Entscheid des Bau- und Umweltdepartementes SG (Nr. 86/2022), Seite 10/10</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