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22-3724, 22-3725 vom 17. Mai 2023</w:t>
      </w:r>
    </w:p>
    <w:p>
      <w:r>
        <w:t>SG Gerichte, 2023-05-17, DE</w:t>
      </w:r>
    </w:p>
    <w:p>
      <w:r>
        <w:rPr>
          <w:b/>
        </w:rPr>
        <w:t xml:space="preserve">Quelle: </w:t>
      </w:r>
      <w:r>
        <w:t>https://mcp.opencaselaw.ch/entscheid/sg_publikationen_22-3724__22-3725</w:t>
      </w:r>
    </w:p>
    <w:p>
      <w:r>
        <w:t>FR: SG_PUBLIKATIONEN 22-3724, 22-3725 du 17 mai 2023</w:t>
      </w:r>
    </w:p>
    <w:p>
      <w:r>
        <w:t>IT: SG_PUBLIKATIONEN 22-3724, 22-3725 del 17 maggio 2023</w:t>
      </w:r>
    </w:p>
    <w:p>
      <w:pPr>
        <w:pStyle w:val="Heading2"/>
      </w:pPr>
      <w:r>
        <w:t>Erwägungen</w:t>
      </w:r>
    </w:p>
    <w:p>
      <w:r>
        <w:rPr>
          <w:b/>
        </w:rPr>
        <w:t>E. 1.1</w:t>
      </w:r>
    </w:p>
    <w:p>
      <w:r>
        <w:t>Die beiden Rekursverfahren stehen im gleichen sachlichen Zu- sammenhang. Sie werfen dieselben Sachverhalts- und Rechtsfragen auf. Es ist somit zweckmässig, sie verfahrensrechtlich zu vereinigen</w:t>
      </w:r>
    </w:p>
    <w:p>
      <w:r>
        <w:t>Entscheid des Bau- und Umweltdepartementes SG (Nr. 50/2023), Seite 6/12</w:t>
      </w:r>
    </w:p>
    <w:p>
      <w:r>
        <w:t>und durch einen einzigen Entscheid zu erledigen (VerwGE B 2015/96 und B 2015/97 vom 26. Oktober 2016 Erw. 1; GVP 1972 Nr. 30).</w:t>
      </w:r>
    </w:p>
    <w:p>
      <w:r>
        <w:rPr>
          <w:b/>
        </w:rPr>
        <w:t>E. 1.2</w:t>
      </w:r>
    </w:p>
    <w:p>
      <w:r>
        <w:t>Die Zuständigkeit des Bau- und Umweltdepartementes ergibt sich aus Art. 43bis des Gesetzes über die Verwaltungsrechtspflege (sGS 951.1; abgekürzt VRP).</w:t>
      </w:r>
    </w:p>
    <w:p>
      <w:r>
        <w:rPr>
          <w:b/>
        </w:rPr>
        <w:t>E. 1.3</w:t>
      </w:r>
    </w:p>
    <w:p>
      <w:r>
        <w:t>Die Frist- und Formerfordernisse von Art. 47 Abs. 1 und Art. 48 VRP sind erfüllt. Die Rekursberechtigung ist gegeben (Art. 45 VRP). Auf die Rekurse ist – allerdings unter der Einschränkung der nachfol- genden Erw. 1.4 – einzutreten.</w:t>
      </w:r>
    </w:p>
    <w:p>
      <w:r>
        <w:rPr>
          <w:b/>
        </w:rPr>
        <w:t>E. 1.4</w:t>
      </w:r>
    </w:p>
    <w:p>
      <w:r>
        <w:t>Gegenstand dieses Rekursverfahrens bilden allein die Baube- willigung und der Einspracheentscheid vom 9. Mai 2022. Soweit die Rekurrenten 1 und 2 im Rekurs nun vorbringen, es sei die Wiederher- stellung der Trockenmauer anzuordnen, so haben sie – mangels An- tragsstellung im Einspracheverfahren – mit diesem Begehren zuerst an die die Vorinstanz zu gelangen, welche darüber erstinstanzlich zu entscheiden hat. Entsprechend ist auf den Rekurs hinsichtlich der Wie- derherstellung der Trockenmauer nicht einzutreten.</w:t>
      </w:r>
    </w:p>
    <w:p>
      <w:r>
        <w:rPr>
          <w:b/>
        </w:rPr>
        <w:t>E. 2</w:t>
      </w:r>
    </w:p>
    <w:p>
      <w:r>
        <w:t>Am 1. Oktober 2017 ist das Planungs- und Baugesetz (sGS 731.1; abgekürzt PBG) in Kraft getreten und das Baugesetz vom 6. Juni 1972 (nGS 8, 134; abgekürzt BauG) aufgehoben worden (Art. 172 Bst. a PBG). Der erstinstanzliche Einsprache- und Baubewilligungsent- scheid erging am 9. Mai 2022. Mithin sind vorliegend grundsätzlich die Bestimmungen des PBG anwendbar, sofern sie gemäss Anhang zum Kreisschreiben «Übergangsrechtliche Bestimmungen im PBG» vom 8. März 2017 (Baudepartement SG, Juristische Mitteilungen 2017/I/1) als unmittelbar anwendbar erklärt werden. Im Übrigen gelangen wei- terhin das Baugesetz und das entsprechende Baureglement zur An- wendung.</w:t>
      </w:r>
    </w:p>
    <w:p>
      <w:r>
        <w:rPr>
          <w:b/>
        </w:rPr>
        <w:t>E. 3</w:t>
      </w:r>
    </w:p>
    <w:p>
      <w:r>
        <w:t>Ob ein Augenschein durchzuführen ist, liegt im pflichtgemässen Er- messen der urteilenden Instanz. Nur wo sich eine Tatsache nicht an- ders abklären lässt, wird eine Verpflichtung zur Durchführung eines Augenscheins bejaht. Ergibt sich eine Tatsache dagegen zweifelsfrei aus den Akten, so braucht sie nicht durch einen Augenschein überprüft zu werden. Dies gilt auch für unbestrittene Behauptungen, sofern eine Nachprüfung nicht durch öffentliche Interessen geboten erscheint. Tat- sachen aber, vor allem umstrittene, deren umfassende Feststellung und Würdigung eine eigene Wahrnehmung erheischen, sind in Augen- schein zu nehmen (B.MÄRKLI, in: Rizvi/Schindler/Cavelti [Hrsg.], Pra- xiskommentar zum Gesetz über die Verwaltungsrechtspflege (VRP), Zürich/St.Gallen 2020, Art. 12 N 50 ff.; BUDE Nr. 3/2023 vom 10. Ja- nuar 2023 Erw. 3). Die entscheidenden tatsächlichen Verhältnisse er- geben sich vorliegend vollständig aus den Baugesuchsakten und -plä- nen, den übrigen Verfahrensakten sowie dem öffentlich zugänglichen</w:t>
      </w:r>
    </w:p>
    <w:p>
      <w:r>
        <w:t>Entscheid des Bau- und Umweltdepartementes SG (Nr. 50/2023), Seite 7/12</w:t>
      </w:r>
    </w:p>
    <w:p>
      <w:r>
        <w:t>Geoportal (www.geoportal.ch). Der Antrag auf Durchführung eines Au- genscheins ist deshalb abzulehnen.</w:t>
      </w:r>
    </w:p>
    <w:p>
      <w:r>
        <w:rPr>
          <w:b/>
        </w:rPr>
        <w:t>E. 4</w:t>
      </w:r>
    </w:p>
    <w:p>
      <w:r>
        <w:t>Die Rekurrenten 1 und 2 rügen eine ungenügende Visierung des Bauvorhabens.</w:t>
      </w:r>
    </w:p>
    <w:p>
      <w:r>
        <w:rPr>
          <w:b/>
        </w:rPr>
        <w:t>E. 4.1</w:t>
      </w:r>
    </w:p>
    <w:p>
      <w:r>
        <w:t>Nach Art. 138 PBG stellt die Bauherrschaft vor dem Auflagever- fahren Visiere auf, die Stellung und Ausmass der Baute oder Anlage bezeichnen. Bauvisiere sollen einerseits Nachbarn und sonstige Inte- ressenten auf einen geplanten Bau aufmerksam machen, damit sie sich darüber in den Bauplänen orientieren können, anderseits der Baupolizeibehörde bei der Prüfung und Beurteilung des Baugesuchs als Hilfsmittel dienen (B. HEER, St.Gallisches Bau- und Planungsrecht, Bern 2003, N 886). Gegenüber vom Bauvorhaben betroffenen Perso- nen verfolgen Visiere somit in erster Linie Publikationswirkung (Bau- departement SG, Juristische Mitteilungen 2001/I/6). Für die Beurtei- lung eines Baugesuchs sind aber letztlich die Baupläne massgebend. Auf Ungenauigkeiten in der Visierung des geplanten Bauprojekts kann sich die Nachbarin oder der Nachbar nur berufen, wenn es ihr bzw. ihm nicht möglich oder nicht zumutbar war, sich anhand der Baupläne zu orientieren. Fehlende oder mangelhafte Visierungen bleiben somit ohne Folgen für das Baubewilligungsverfahren, wenn der Einsprecher oder die Einsprecherin dadurch keine Nachteile erleidet (Urteil des Bundesgerichtes 1C_155/2015 vom 19. Januar 2016 Erw. 3.2; BDE Nr. 39/2014 vom 2. Juni 2014 Erw. 2.3.1; BUDE Nr. 10/2023 vom 20. Januar 2023 Erw. 7.1).</w:t>
      </w:r>
    </w:p>
    <w:p>
      <w:r>
        <w:rPr>
          <w:b/>
        </w:rPr>
        <w:t>E. 4.2</w:t>
      </w:r>
    </w:p>
    <w:p>
      <w:r>
        <w:t>Die Rekurrenten 1 und 2 machen – wie bereits vor Vorinstanz – geltend, bei der Visierung hätte eine Visierstange gefehlt. Welche Vi- sierstange konkret gefehlt hätte oder inwiefern dies zu einer falschen Visierung geführt hätte, machen sie indes nicht geltend. Auch ist frag- lich, ob den Rekurrenten aus der behaupteten falschen Visierung überhaupt ein rechtlicher Nachteil erwachsen ist. Wie oben dargelegt, ist es zwar ein wesentlicher Ausfluss der Visierungspflicht, dass sich Anstösser ein Bild des Bauprojekts machen können. Allerdings genügt das Studium der Planunterlagen regelmässig, um bezüglich eines Bauprojekts eine klare Vorstellung zu erhalten. Diese Pläne standen den Rekurrenten zur Verfügung. Den Unterlagen konnten die Rekur- renten die geplanten baulichen Massnahmen sowie die Nutzungen entnehmen. Damit war es ihnen ohne weiteres möglich, die Auswir- kungen des Projekts abzuschätzen. Es war ihnen auch offensichtlich möglich, rechtzeitig Einsprache gegen das Baugesuch zu erheben. Daraus folgt, dass die Rekurrenten aus der behaupteten falschen Vi- sierung nichts zu ihren Gunsten abzuleiten vermögen. Damit kann auch offenbleiben, ob die Visiere tatsächlich nicht korrekt gestellt wor- den sind. Die Rüge erweist sich ohnehin als unbegründet.</w:t>
      </w:r>
    </w:p>
    <w:p>
      <w:r>
        <w:rPr>
          <w:b/>
        </w:rPr>
        <w:t>E. 5</w:t>
      </w:r>
    </w:p>
    <w:p>
      <w:r>
        <w:t>Die Rekurrenten 1 und 2 rügen die Verletzung des Gebäudeabstands.</w:t>
      </w:r>
    </w:p>
    <w:p>
      <w:r>
        <w:t>Entscheid des Bau- und Umweltdepartementes SG (Nr. 50/2023), Seite 8/12</w:t>
      </w:r>
    </w:p>
    <w:p>
      <w:r>
        <w:rPr>
          <w:b/>
        </w:rPr>
        <w:t>E. 5.1</w:t>
      </w:r>
    </w:p>
    <w:p>
      <w:r>
        <w:t>Der Gebäudeabstand wird in Art. 93 PBG geregelt. Gemäss Kreisschreiben «Übergangsrechtliche Bestimmungen im PBG» vom</w:t>
      </w:r>
    </w:p>
    <w:p>
      <w:r>
        <w:rPr>
          <w:b/>
        </w:rPr>
        <w:t>E. 5.2</w:t>
      </w:r>
    </w:p>
    <w:p>
      <w:r>
        <w:t>Ob zwei Gebäude als zusammengebaut gelten, hängt u.a. vom Erscheinungsbild der beiden Gebäude und von ihrer Einheitlichkeit als gesamtem Baukörper ab. Nach konstanter Praxis kann von einem Zu- sammenbau nur die Rede sein, wenn die einzelnen Gebäude, handle es sich um zwei- oder mehrgeschossige Bauten, unmittelbar mit je ei- ner der Hauptfronten und ohne Zwischentrakt aneinandergefügt sind (BDE Nr. 31/2016 vom 30. Mai 2016 Erw. 3.2, RRB 1995/756, 1996/64 Erw. 3b; BDE Nr. 9/2010 vom 2. Februar 2010 Erw. 4.1.2; BUDE Nr. 3/2023 vom 10. Januar 2023 Erw. 9.3). Der Abstand zwi- schen blossen Teilen desselben Gebäudes wird grundsätzlich nicht gemessen. Als solche Gebäudeteile kommen Aussenkamine, Lift- und Treppenhausanbauten, Balkone usw. in Frage. Nicht mehr als Gebäu- deteil dürfen klarerweise ganze Gebäudetrakte qualifiziert werden. Zwischen ihnen sind Abstände zu messen. Werden zwei Gebäude oder Gebäudeteile mit einem Zwischendach verbunden, so besteht unter diesem ein "Zusammenbau" und ein Gebäudeabstand ist nicht einzuhalten. Voraussetzung ist, dass diese Verbindung selbst Gebäu- decharakter aufweist. Eine derartige Verbindung zweier Hauptge- bäude eliminiert die Messung des Gebäudeabstands im oberen Be- reich aber nicht, könnten doch sonst die Gebäudeabstände überall und ohne Probleme mit Schöpfen, überdachten Sitzplätzen, Windfän- gen usw. umgangen werden. Ferner würde dies meist auch dem Sinn des Gebäudeabstands, lockere Überbauungen mit wohnhygienisch und feuerpolizeilich einwandfreien Verhältnissen zu erreichen, zuwi- derlaufen (FRITZSCHE/BÖSCH/WIPF/KUNZ, Zürcher Bau- und Planungs- recht, 6. Aufl., Wädenswil 2019, Band 2, S. 1104).</w:t>
      </w:r>
    </w:p>
    <w:p>
      <w:r>
        <w:t>Entscheid des Bau- und Umweltdepartementes SG (Nr. 50/2023), Seite 9/12</w:t>
      </w:r>
    </w:p>
    <w:p>
      <w:r>
        <w:t>Abb.1: Besonderes Gebäude als Zwischenbau (FRITZSCHE/BÖSCH/WIPF/KUNZ, a.a.O., S. 1104)</w:t>
      </w:r>
    </w:p>
    <w:p>
      <w:r>
        <w:rPr>
          <w:b/>
        </w:rPr>
        <w:t>E. 5.3</w:t>
      </w:r>
    </w:p>
    <w:p>
      <w:r>
        <w:t>Vor diesem Hintergrund zeigt sich eindeutig, dass zwischen dem Obergeschoss des Neubauteils und dem Dachgeschoss des beste- henden Wohnhauses der Gebäudeabstand einzuhalten ist und zwar unabhängig davon, dass die Gebäude im darunterliegenden Ge- schoss zusammengebaut sind. Der erforderliche Gebäudeabstand von 8 m ist mit 4 m deutlich unterschritten. Damit liegt ein klassischer Fall eines nicht rechtsgenüglichen Zusammenbaus vor und es ist nicht ersichtlich, weshalb vorliegend von der bisherigen Rechtsprechung abgewichen werden sollte.</w:t>
      </w:r>
    </w:p>
    <w:p>
      <w:r>
        <w:rPr>
          <w:b/>
        </w:rPr>
        <w:t>E. 5.4</w:t>
      </w:r>
    </w:p>
    <w:p>
      <w:r>
        <w:t>Daran ändert auch die Auffassung der Vorinstanz, der vom Ge- bäudeabstand bezweckte Brandschutz und die Wohnhygiene seien gewährleistet, weil sich in Bezug auf die wohnhygienerelevanten Räume nur ein kleines Fenster an der Nordwestfassade des Neubau- teils und nicht brennbare Fassaden gewählt würden, nichts. Vielmehr könnte durch diese Argumentation der Gebäudeabstand und damit kantonales Recht immer ausgehebelt werden. Wollte die Vorinstanz eine Möglichkeit zur Verringerung des Gebäudeabstands vorsehen, so hätte sie dies mittels Sondernutzungsplanung oder der Aufnahme ei- ner entsprechenden Bestimmung im Baureglement vorzunehmen. Da dies vorliegend jedoch nicht der Fall ist gilt das kantonale Baugesetz, über welches sich die Vorinstanz nicht hinwegsetzen kann. Es kommt ihr diesbezüglich – entgegen der Auffassung des Rekursgegners – auch kein Ermessensspielraum zu. Auch der Auffassung des Rekurs- gegners, wonach bei einem Zusammenbau von zwei Hauptbauten mit einem Zwischentrakt der Gebäudeabstand gemäss geltender Recht- sprechung (VerwGE B 2015/96 und 97 vom 26. Oktober 2016) nicht eingehalten werden müsste, solange die maximal zulässige Gebäude- länge nicht überschritten und die übrigen Regelbauvorschriften einge- halten würden, kann nicht gefolgt werden. Die reine Unterschreitung der zulässigen Gebäudelänge kann keine Rechtfertigung dafür sein, im Gegenzug den Gebäudeabstand nicht einzuhalten. Ausserdem ist</w:t>
      </w:r>
    </w:p>
    <w:p>
      <w:r>
        <w:t>Entscheid des Bau- und Umweltdepartementes SG (Nr. 50/2023), Seite 10/12</w:t>
      </w:r>
    </w:p>
    <w:p>
      <w:r>
        <w:t>dieser Entscheid des Verwaltungsgerichtes vorliegend nicht einschlä- gig. Zwar hat das Verwaltungsgericht in diesem Entscheid festgehal- ten, dass die Praxis der verfügenden Gemeinde, eine Verbindung von zwei Einfamilienhäusern einzig durch einen Zwischentrakt zu bewilli- gen, wenn das dadurch entstehende Gesamtgebäude nicht über die Dimension eines Einzelhauses hinausgehe und im Übrigen die Regel- bauvorschriften eingehalten werde, nicht rechtswidrig sei und im Ein- klang mit Art. 16 des Baureglements der verfügenden Gemeinde sei (VerwGE B 2015/96 und 97 vom 26. Oktober 2016 Erw. 5.5). Jedoch beinhaltete dieser Art. 16 unter dem Titel "Grenzbaurecht" den Son- dertatbestand, dass Bauten unter Einhaltung der maximal zulässigen Gebäudelänge mit schriftlicher Zustimmung des Nachbarn bis an die Grenze gestellt und zusammengebaut werden können (VerwGE B 2015/96 und 97 vom 26. Oktober 2016 Erw. 5.3). Eine derartige Be- stimmung ist vorliegend im BauR gerade nicht vorhanden.</w:t>
      </w:r>
    </w:p>
    <w:p>
      <w:r>
        <w:rPr>
          <w:b/>
        </w:rPr>
        <w:t>E. 5.5</w:t>
      </w:r>
    </w:p>
    <w:p>
      <w:r>
        <w:t>Bei diesem Ergebnis erübrigt es sich, auf weitere Einwände der Rekurrenten näher einzugehen.</w:t>
      </w:r>
    </w:p>
    <w:p>
      <w:r>
        <w:t>6.</w:t>
      </w:r>
    </w:p>
    <w:p>
      <w:r>
        <w:t>Zusammenfassend ergibt sich, dass aufgrund der Nichteinhaltung des Gebäudeabstands die angefochtene Baubewilligung und der Ein- spracheentscheid vom 9. Mai 2022 aufzuheben sind. Die beiden Re- kurse erweisen sich als begründet und sind im Sinn der Erwägungen gutzuheissen.</w:t>
      </w:r>
    </w:p>
    <w:p>
      <w:r>
        <w:t>7.</w:t>
      </w:r>
    </w:p>
    <w:p>
      <w:r>
        <w:t>7.1 Nach Art. 95 Abs. 1 VRP hat in Streitigkeiten jener Beteiligte die Kosten zu tragen, dessen Begehren ganz oder teilweise abgewiesen werden. Die Entscheidgebühr beträgt Fr. 4'000.– (Nr. 20.13.01 des Gebührentarifs für die Kantons- und Gemeindeverwaltung, sGS 821.5). Dem Ausgang des Verfahrens entsprechend sind die amtlichen Kosten dem Rekursgegner zu überbinden.</w:t>
      </w:r>
    </w:p>
    <w:p>
      <w:r>
        <w:t>7.2 Der von A.___ im Rekurs 1 am 3. Juni 2022 geleistete Kosten- vorschuss von Fr. 1'800.– ist zurückzuerstatten.</w:t>
      </w:r>
    </w:p>
    <w:p>
      <w:r>
        <w:t>7.3 Der von B.___ im Rekurs 2 am 2. Juni 2022 geleistete Kosten- vorschuss von Fr. 1'800.– ist zurückzuerstatten.</w:t>
      </w:r>
    </w:p>
    <w:p>
      <w:r>
        <w:rPr>
          <w:b/>
        </w:rPr>
        <w:t>E. 8</w:t>
      </w:r>
    </w:p>
    <w:p>
      <w:r>
        <w:t>Die Rekurrenten sowie der Rekursgegner stellen ein Begehren um Er- satz der ausseramtlichen Kosten.</w:t>
      </w:r>
    </w:p>
    <w:p>
      <w:r>
        <w:rPr>
          <w:b/>
        </w:rPr>
        <w:t>E. 8.1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t>Entscheid des Bau- und Umweltdepartementes SG (Nr. 50/2023), Seite 11/12</w:t>
      </w:r>
    </w:p>
    <w:p>
      <w:r>
        <w:rPr>
          <w:b/>
        </w:rPr>
        <w:t>E. 8.2</w:t>
      </w:r>
    </w:p>
    <w:p>
      <w:r>
        <w:t>Die Rekurrenten obsiegen mit ihren Anträgen. Da die Verfahren zudem in tatsächlicher und rechtlicher Hinsicht Schwierigkeiten boten, die den Beizug eines Rechtsvertreters rechtfertigen, besteht grund- sätzlich Anspruch auf eine ausseramtliche Entschädigung (Art. 98bis VRP). Weil keine Kostennote vorliegt und in beiden Rekursverfahren der gleiche Rechtsvertreter auftrat und die Eingaben inhaltlich iden- tisch waren, ist die ausseramtliche Entschädigung in Anwendung von Art. 6 in Verbindung mit Art. 22 der Honorarordnung (sGS 963.75; abgekürzt HonO) ermessensweise auf Fr. 2'000.– zuzüglich der Bar- auslagenpauschale von 4 Prozent, insgesamt also auf Fr. 2'080.– je Rekursverfahren festzulegen; sie ist vom Rekursgegner zu bezahlen.</w:t>
      </w:r>
    </w:p>
    <w:p>
      <w:r>
        <w:t>Da kein begründeter Antrag um Zusprechung der Mehrwertsteuer ge- stellt wurde, wird diese aufgrund des per 1. Januar 2019 geänderten Art. 29 HonO nicht zum Honorar hinzugerechnet.</w:t>
      </w:r>
    </w:p>
    <w:p>
      <w:r>
        <w:rPr>
          <w:b/>
        </w:rPr>
        <w:t>E. 8.3</w:t>
      </w:r>
    </w:p>
    <w:p>
      <w:r>
        <w:t>Da der Rekursgegner mit seinen Anträgen unterliegt, hat er von vornherein keinen Anspruch auf eine ausseramtliche Entschädigung. Seine Begehren sind deshalb abzuweisen. Entscheid 1.</w:t>
      </w:r>
    </w:p>
    <w:p>
      <w:r>
        <w:t>a) Der Rekurs von A.___, Z.___, wird im Sinn der Erwägungen gutgeheissen.</w:t>
      </w:r>
    </w:p>
    <w:p>
      <w:r>
        <w:t>b) Der Rekurs von B.___, Z.___, wird im Sinn der Erwägungen gutgeheissen.</w:t>
      </w:r>
    </w:p>
    <w:p>
      <w:r>
        <w:t>c) Die Baubewilligung des Gemeinderates Z.___ vom 9. Mai 2022 und der Einspracheentscheid vom 9. Mai 2022 werden aufgehoben.</w:t>
      </w:r>
    </w:p>
    <w:p>
      <w:r>
        <w:t>2.</w:t>
      </w:r>
    </w:p>
    <w:p>
      <w:r>
        <w:t>a) C.___, Z.___, wird eine Entscheidgebühr von Fr. 4'000.– auferlegt.</w:t>
      </w:r>
    </w:p>
    <w:p>
      <w:r>
        <w:t>b) Der am 3. Juni 2022 von A.___ geleistete Kostenvorschuss von Fr. 1'800.– wird zurückerstattet.</w:t>
      </w:r>
    </w:p>
    <w:p>
      <w:r>
        <w:t>c) Der am 2. Juni 2022 von B.___ geleistete Kostenvorschuss von Fr. 1'800.– wird zurückerstattet.</w:t>
      </w:r>
    </w:p>
    <w:p>
      <w:r>
        <w:t>3.</w:t>
      </w:r>
    </w:p>
    <w:p>
      <w:r>
        <w:t>a) Das Begehren von A.___ um Ersatz der ausseramtlichen Kos- ten wird gutgeheissen. C.___ entschädigt A.___ ausseramtlich mit Fr. 2'080.–.</w:t>
      </w:r>
    </w:p>
    <w:p>
      <w:r>
        <w:t>Entscheid des Bau- und Umweltdepartementes SG (Nr. 50/2023), Seite 12/12</w:t>
      </w:r>
    </w:p>
    <w:p>
      <w:r>
        <w:t>b) Das Begehren von B.___ um Ersatz der ausseramtlichen Kos- ten wird gutgeheissen. C.___ entschädigt B.___ ausseramtlich mit Fr. 2'080.–.</w:t>
      </w:r>
    </w:p>
    <w:p>
      <w:r>
        <w:t>c) Die Begehren von C.___ um Ersatz der ausseramtlichen Kosten in den Rekursen Nrn. 22-3724 und 22-3725 werden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