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21-3837 vom 17. Dezember 2021</w:t>
      </w:r>
    </w:p>
    <w:p>
      <w:r>
        <w:t>SG Gerichte, 2021-12-17, DE</w:t>
      </w:r>
    </w:p>
    <w:p>
      <w:r>
        <w:rPr>
          <w:b/>
        </w:rPr>
        <w:t xml:space="preserve">Quelle: </w:t>
      </w:r>
      <w:r>
        <w:t>https://mcp.opencaselaw.ch/entscheid/sg_publikationen_21-3837</w:t>
      </w:r>
    </w:p>
    <w:p>
      <w:r>
        <w:t>FR: SG_PUBLIKATIONEN 21-3837 du 17 décembre 2021</w:t>
      </w:r>
    </w:p>
    <w:p>
      <w:r>
        <w:t>IT: SG_PUBLIKATIONEN 21-3837 del 17 dicembre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aufgehoben worden (Art. 172 Bst. a PBG). Der erstin- stanzliche Wiederherstellungsentscheid erging am 7. April 2021, die Zusatzverfügung am 29. April 2021. Mithin sind vorliegend grundsätz- lich die Bestimmungen des PBG anwendbar, sofern sie gemäss An- hang zum Kreisschreiben „Übergangsrechtliche Bestimmungen im PBG“ vom 8. März 2017 (Bau- und Umweltdepartement SG, Juristi- sche Mitteilungen 2017/I/1) als unmittelbar anwendbar erklärt werden. Im Übrigen gelangen weiterhin das Baugesetz und das entsprechende Baureglement zur Anwendung.</w:t>
      </w:r>
    </w:p>
    <w:p>
      <w:r>
        <w:rPr>
          <w:b/>
        </w:rPr>
        <w:t>E. 3</w:t>
      </w:r>
    </w:p>
    <w:p>
      <w:r>
        <w:t>Die Rekurrenten bringen in erster Linie vor, Gemeindepräsident H.___ sei erst beim Erlass der angefochtenen Wiederherstellungsverfügung vom 7. April 2021 (sowie beim Erlass der Zusatzverfügung vom 29. April 2021) in den Ausstand getreten. Bei sämtlichen vorangegangenen Amtshandlungen, namentlich jenen, die in Zusam- menhang mit der Erstellung des Entwurfs für die angefochtene Wie- derherstellungsverfügung gestanden hätten, habe er noch mitgewirkt. Diese vorbereitenden Amtshandlungen seien später nicht mehr wie- derholt worden. Folglich habe die Vorinstanz beim Erlass der Wieder-</w:t>
      </w:r>
    </w:p>
    <w:p>
      <w:r>
        <w:t>Entscheid des Bau- und Umweltdepartementes SG (Nr. 84/2021), Seite 12/16</w:t>
      </w:r>
    </w:p>
    <w:p>
      <w:r>
        <w:t>herstellungsverfügung gegen die Ausstandsregeln verstossen, wes- halb die angefochtenen Verfügungen an einem unheilbaren Mangel litten und aufzuheben seien.</w:t>
      </w:r>
    </w:p>
    <w:p>
      <w:r>
        <w:rPr>
          <w:b/>
        </w:rPr>
        <w:t>E. 3.1</w:t>
      </w:r>
    </w:p>
    <w:p>
      <w:r>
        <w:t>Art. 29 Abs. 1 der Bundesverfassung (SR 101; abgekürzt BV) gewährleistet den Anspruch auf richtige Zusammensetzung der Ent- scheidbehörde. Von der entscheidenden Behörde und deren Mitglie- dern wird zudem ein gewisses Mass an Unabhängigkeit verlangt (G. STEINMANN, in: Ehrenzeller/Schindler/Schweizer/Vallender [Hrsg.], Kommentar zur Schweizerischen Bundesverfassung, 3. Aufl., Zürich/St.Gallen 2014, Art. 29 N 35). Wegen fehlender Unabhängig- keit können Mitglieder von gerichtlichen und von Verwaltungsbehör- den unter anderem dann abgelehnt werden, wenn Umstände vorlie- gen, die nach objektiven Gesichtspunkten geeignet sind, den An- schein der Befangenheit zu erwecken (BGE 127 I 198). Die in Art. 29 BV statuierten Verfahrensgarantien gelten in allen Gerichts- sowie Verwaltungsverfahren. Die bundesgerichtlichen Anforderungen an die Unabhängigkeit der Mitglieder einer Entscheidbehörde werden im kantonalen Recht in Art. 7 Abs. 1 VRP konkretisiert. Danach haben Behördenmitglieder, öffentliche Angestellte und amtlich bestellte Sachverständige, die Anordnungen treffen, solche vorbereiten oder daran mitwirken, von sich aus in den Ausstand zu treten, wenn sie selbst oder ihre Verwandten in der Angelegenheit betroffen sind (Bst. a), sie wirtschaftlich betroffen sind (Bst. b), sie bei einer Anord- nung einer Vorinstanz mitgewirkt haben (Bst. bbis) oder wenn sie aus anderen Gründen befangen erscheinen (Bst. c). Durch die Ausstands- vorschriften soll vermieden werden, dass Mitglieder, die voreingenom- men sind oder so erscheinen, an einem Entscheid mitwirken. Ein strik- ter Nachweis ist nicht erforderlich – es genügt die Glaubhaftmachung. Auf rein individuelle – subjektive – Eindrücke eines Verfahrensbetei- ligten darf nicht abgestellt werden. Vielmehr sind nur die objektiv fest- gestellten Umstände zu berücksichtigen (VerwGE B 2017/115 vom 26. Oktober 2017 Erw. 2.3 mit Hinweisen).</w:t>
      </w:r>
    </w:p>
    <w:p>
      <w:r>
        <w:rPr>
          <w:b/>
        </w:rPr>
        <w:t>E. 3.2</w:t>
      </w:r>
    </w:p>
    <w:p>
      <w:r>
        <w:t>Bei Verfahren vor Verwaltungsbehörden ist dem Umstand Rech- nung zu tragen, dass diese im Gegensatz zu den gerichtlichen Instan- zen nicht nur zur neutralen Rechtsanwendung und Streitentscheidung berufen sind, sondern auch weitere öffentliche Aufgaben erfüllen und öffentliche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(C. REITER, in: Rizvi/Schindler/Cavelti [Hrsg.], Praxiskommentar zum Gesetz über die Verwaltungsrechts- pflege, Zürich/St.Gallen 2020, Art. 7-7bis N 26). Im verwaltungsinternen Verfahren bejaht das Bundesgericht eine Ausstandspflicht in der Re- gel nur dann, wenn das betreffende Behördenmitglied oder der Be- amte ein persönliches Interesse an dem zu behandelnden Geschäft</w:t>
      </w:r>
    </w:p>
    <w:p>
      <w:r>
        <w:t>Entscheid des Bau- und Umweltdepartementes SG (Nr. 84/2021), Seite 13/16</w:t>
      </w:r>
    </w:p>
    <w:p>
      <w:r>
        <w:t>hat. Im Zusammenhang mit Vorabklärungen bei Verwaltungsbehör- den, für die bei komplexen Sach- und Rechtsfragen ein Bedürfnis be- stehen kann, dürfen die Äusserungen der Behörde aber nicht den Ein- druck erwecken, diese habe sich bereits ihre Meinung in Bezug auf ein konkretes Vorhaben gebildet. Äusserungen dürfen nicht einer ab- schliessenden Beurteilung gleichkommen (Urteil des Bundesgerichtes 1C_150/2009 vom 8. September 2009 Erw. 3.5.2). In jedem Fall ist eine Beurteilung aller konkreten Umstände nötig. Massgebend sind sowohl die behördliche Organisation als auch die Funktionen, welche die Betreffenden wahrzunehmen haben, sowie ihre Stellung im kon- kreten Verfahren (VerwGE B 2020/59 vom 19. Januar 2021 Erw. 2.2.1 mit weiteren Hinweisen).</w:t>
      </w:r>
    </w:p>
    <w:p>
      <w:r>
        <w:rPr>
          <w:b/>
        </w:rPr>
        <w:t>E. 3.3</w:t>
      </w:r>
    </w:p>
    <w:p>
      <w:r>
        <w:t>Vorliegend ist unter den Beteiligten unbestritten, dass Gemein- depräsident H.___ als befangen zu gelten hat, weil seine Tochter im Unternehmen des Rekursgegners angestellt ist. Ebenso ist unter ihnen unstrittig, dass H.___ sich nicht erst bei der Beschlussfassung über die Wiederherstellungsverfügung, sondern schon vorher, wäh- rend des gesamten Wiederherstellungsverfahrens hätte im Ausstand befinden müssen. Diesen Sichtweisen der Rekurrenten und der Vorinstanz ist nichts entgegenzusetzen. Das Bundesgericht bejahte bereits im Urteil 1C.150/2009 vom 8. September 2009 (in: ZBl 112/2011 S. 478 ff.) die Befangenheit einer Baukommission, die im Hinblick auf das anstehende Baubewilligungsverfahren zu einem Bau- vorhaben konkret Stellung genommen hatte. Für das Bundesgericht fiel unter anderem ins Gewicht, dass sich die Baukommission in ihrer Stellungnahme umfassend und detailliert zu zentralen Punkten des Baubewilligungsverfahrens geäussert hatte. Das Projekt war zudem aufgrund von Anregungen der Baukommission im Hinblick auf die Baubewilligung leicht abgeändert worden; insofern hatte die Kommis- sion praktisch als Beraterin fungiert. Unter diesen Umständen konnte für die Einsprecher der Eindruck entstehen, die Baukommission habe sich zum Vorhaben bereits eine feste Meinung gebildet und werde sich im Baubewilligungsverfahren – ungeachtet der Einsprachen – nicht mehr umstimmen lassen. Die Begleitung durch die Behörden darf mit- hin nicht so weit gehen, die Bauherrschaft bei ihrer Ausarbeitung eines Sondernutzungsplans oder eines Baugesuchs in detaillierter Weise zu beraten oder ihr vor Berücksichtigung allfälliger Drittinteressen dar- über hinaus die verbindliche Zusage zu machen, das Vorhaben in ei- ner bestimmten Form bewilligen zu können (BGE 140 I 326 Erw. 6.3 mit Hinweisen). Ähnlich verhält es sich vorliegend mit der angefochte- nen Wiederherstellungsverfügung. Der Gemeindepräsident hat ge- mäss den – von der Vorinstanz auch bestätigten – Ausführungen der Rekurrenten am gesamten Wiederherstellungsverfahren mitgewirkt. Er hat sogar noch über den Entwurf für die Wiederherstellungsverfü- gung zusammen mit dem Gemeinderat beraten, diesen beschlossen und ihn den Rekurrenten und den Rekursgegnern mit einem von ihm mitunterzeichnetem Schreiben vom 10. März 2020 auch zum rechtli- chen Gehör zugestellt. Für die Rekurrenten konnte damit nachvollzieh- barerweise der Eindruck entstehen, die Vorinstanz habe sich (unter</w:t>
      </w:r>
    </w:p>
    <w:p>
      <w:r>
        <w:t>Entscheid des Bau- und Umweltdepartementes SG (Nr. 84/2021), Seite 14/16</w:t>
      </w:r>
    </w:p>
    <w:p>
      <w:r>
        <w:t>Mitwirkung des befangenen Gemeindepräsidenten) zur Wiederher- stellung bereits eine feste Meinung gebildet und werde sich – unge- achtet ihrer Eingaben im Rahmen des rechtlichen Gehörs – ohnehin nicht mehr umstimmen lassen. Unter diesen Umständen genügte es tatsächlich nicht, dass der Gemeindepräsident erst beim Erlass der Wiederherstellungsverfügung am 7. April 2021 in den Ausstand trat. Die Rüge der Rekurrenten erweist sich damit als begründet, weshalb die Entscheide der Vorinstanz vom 7. und 29. April 2021 aufzuheben sind.</w:t>
      </w:r>
    </w:p>
    <w:p>
      <w:r>
        <w:rPr>
          <w:b/>
        </w:rPr>
        <w:t>E. 4</w:t>
      </w:r>
    </w:p>
    <w:p>
      <w:r>
        <w:t>Die Rekurrenten stellen in diesem Zusammenhang in ihrer Rekurser- gänzung vom 14. Juni 2021 einerseits den Eventualantrag, für das neu durchzuführende Wiederherstellungsverfahren sei durch das Bau- und Umweltdepartement eine Ersatzbehörde zu bestimmen. Mit Eingabe vom 28. September 2021 verlangen sie zudem, dass von der Rechts- mittelinstanz selbst über die Streitsache zügig und im Sinn "sämtlicher Weisungen des Verwaltungsgerichtes" entschieden werde.</w:t>
      </w:r>
    </w:p>
    <w:p>
      <w:r>
        <w:rPr>
          <w:b/>
        </w:rPr>
        <w:t>E. 4.1</w:t>
      </w:r>
    </w:p>
    <w:p>
      <w:r>
        <w:t>Nach Art. 156 des Gemeindegesetzes (sGS 151.2; abge- kürzt GG) sind Aufsichtsbehörden die Regierung (Bst. a), das zustän- dige Departement (Bst. b) sowie weitere Behörden nach Massgabe der Gesetzgebung (Bst. c). Nach Art. 159 Abs. 1 GG trifft das zustän- dige Departement angemessene Massnahmen zur Wiederherstellung oder Sicherung der gesetzlichen Ordnung. Nach Art. 159 Abs. 2 GG kann es insbesondere:</w:t>
      </w:r>
    </w:p>
    <w:p>
      <w:r>
        <w:t>- anstelle eines Gemeindeorgans handeln (Bst. a); - Ersatzvornahmen anordnen (Bst. b); - Reglemente erlassen (Bst. c); - Jahresrechnung, Voranschlag und Steuerfuss be- schliessen (Bst. d); - im öffentlichen Interesse Aufgaben einer Gemeinde an eine andere Gemeinde übertragen, wenn keine Ver- einbarung zustande gekommen ist (Bst. e); - eine Ersatzverwaltung einsetzen, wenn (Bst. f):</w:t>
      </w:r>
    </w:p>
    <w:p>
      <w:r>
        <w:t>die oberste Verwaltungsbehörde der Gemeinde im Einzelfall nicht beschlussfähig ist (Ziff. 1); (…)</w:t>
      </w:r>
    </w:p>
    <w:p>
      <w:r>
        <w:t>Nach Art. 22 Bst. c des Geschäftsreglementes der Regierung und der Staatskanzlei (sGS 141.3) fällt die Aufsicht über die politischen Ge- meinden in den Geschäftsbereich des Departementes des Innern, dem nach Art. 22 Bst. b dieses Reglementes zudem auch die Aufsicht über den gesetzmässigen Bestand der Behörden obliegt.</w:t>
      </w:r>
    </w:p>
    <w:p>
      <w:r>
        <w:t>Entscheid des Bau- und Umweltdepartementes SG (Nr. 84/2021), Seite 15/16</w:t>
      </w:r>
    </w:p>
    <w:p>
      <w:r>
        <w:rPr>
          <w:b/>
        </w:rPr>
        <w:t>E. 4.2</w:t>
      </w:r>
    </w:p>
    <w:p>
      <w:r>
        <w:t>Entgegen dem Antrag der Rekurrenten ist es nicht Aufgabe des Bau- und Umweltdepartementes, anstelle der Vorinstanz über die Wie- derherstellung des rechtmässigen Zustands zu entscheiden. An sich wäre es Sache der Vorinstanz, das Wiederherstellungsverfahren nochmals zu wiederholen, wobei befangene Behördenmitglieder von Anfang an in den Ausstand zu treten hätten. Angesichts der geschil- derten Sachlage im vorliegenden Fall scheint es indessen tatsächlich fraglich, ob ein solches Vorgehen zielführend ist oder ob nicht besser eine Ersatzbehörde für dieses Verfahren eingesetzt werden sollte. Der Entscheid über diese Frage fällt indessen nicht in die Zuständigkeit des Bau- und Umweltdepartementes. Die Vorinstanz hat aber nach Art. 159 Abs. 2 Bst. f Ziff. 1 GG die Möglichkeit, einen Antrag an die zuständige Aufsichtsbehörde, mithin an das Departement des Innern, zu stellen, damit ihm dieses für die Durchführung des Wiederherstel- lungsverfahrens eine Ersatzverwaltung bestimmt.</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wären die amtlichen Kosten der Politischen Gemeinde Z.___ aufzuerlegen. Auf deren Erhebung ist jedoch zu verzichten (Art. 95 Abs. 3 VRP).</w:t>
      </w:r>
    </w:p>
    <w:p>
      <w:r>
        <w:rPr>
          <w:b/>
        </w:rPr>
        <w:t>E. 5.2</w:t>
      </w:r>
    </w:p>
    <w:p>
      <w:r>
        <w:t>Der von den Vertretern der Rekurrenten am 26. Mai 2021 ge- leistete Kostenvorschuss von Fr. 1'800.– ist zurückzuerstatten.</w:t>
      </w:r>
    </w:p>
    <w:p>
      <w:r>
        <w:rPr>
          <w:b/>
        </w:rPr>
        <w:t>E. 6</w:t>
      </w:r>
    </w:p>
    <w:p>
      <w:r>
        <w:t>Rekurrenten und Rekursgegner stellen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Die Rekurrenten obsiegen mit ihren Anträgen. Da das Verfahren zudem in tatsächlicher und rechtlicher Hinsicht Schwierigkeiten bot, die den Beizug eines Rechtsvertreters rechtfertigen, ist ihr Begehren um Ersatz der ausseramtlichen Kosten gutzuheissen (Art. 98bis VRP). Weil keine Kostennote vorliegt, ist die ausseramtliche Entschädigung in Anwendung von Art. 6 in Verbindung mit Art. 22 der Honorarordnung (sGS 963.75) ermessensweise auf Fr. 2'750.– festzulegen; sie ist von der Politischen Gemeinde Z.___ zu bezahlen.</w:t>
      </w:r>
    </w:p>
    <w:p>
      <w:r>
        <w:t>Entscheid des Bau- und Umweltdepartementes SG (Nr. 84/2021), Seite 16/16</w:t>
      </w:r>
    </w:p>
    <w:p>
      <w:r>
        <w:rPr>
          <w:b/>
        </w:rPr>
        <w:t>E. 6.3</w:t>
      </w:r>
    </w:p>
    <w:p>
      <w:r>
        <w:t>Da die Rekursgegner mit ihren Anträgen unterliegen, haben sie von vornherein keinen Anspruch auf eine ausseramtliche Entschädi- gung. Ihr Begehren ist deshalb abzuweisen. Entscheid 1.</w:t>
      </w:r>
    </w:p>
    <w:p>
      <w:r>
        <w:t>a) Der Rekurs von A.___, B.___, D.___, E.___, alle Z.___, und C.___, Y.___, wird im Sinn der Erwägungen gutgeheissen.</w:t>
      </w:r>
    </w:p>
    <w:p>
      <w:r>
        <w:t>b) Die Beschlüsse des Gemeinderates Z.___ vom 7. und 29. April 2021 werden aufgehoben.</w:t>
      </w:r>
    </w:p>
    <w:p>
      <w:r>
        <w:t>2.</w:t>
      </w:r>
    </w:p>
    <w:p>
      <w:r>
        <w:t>a) Auf die Erhebung der amtlichen Kosten in der Höhe von Fr. 3'000.– bei der Politischen Gemeinde Z.___ wird verzichtet.</w:t>
      </w:r>
    </w:p>
    <w:p>
      <w:r>
        <w:t>b) Der am 26. Mai 2021 von lic.iur. Payám Ghaemmaghami und MLaw Páyá Ghaemmaghami, Z.___, geleistete Kostenvorschuss von Fr. 1'800.– wird zurückerstattet.</w:t>
      </w:r>
    </w:p>
    <w:p>
      <w:r>
        <w:t>3.</w:t>
      </w:r>
    </w:p>
    <w:p>
      <w:r>
        <w:t>a) Das Begehren von A.___, B.___, D.___, E.___ und C.___ um Ersatz der ausseramtlichen Kosten wird gutgeheissen. Die Politische Gemeinde Z.___ entschädigt A.___, B.___, D.___, E.___ und C.___ ausseramtlich mit insgesamt Fr. 2'750.–.</w:t>
      </w:r>
    </w:p>
    <w:p>
      <w:r>
        <w:t>b) Das Begehren von F.___,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