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SG_PUBLIKATIONEN 20-9094 / 20-9095 vom 11. Mai 2021</w:t>
      </w:r>
    </w:p>
    <w:p>
      <w:r>
        <w:t>SG Gerichte, 2021-05-11, DE</w:t>
      </w:r>
    </w:p>
    <w:p>
      <w:r>
        <w:rPr>
          <w:b/>
        </w:rPr>
        <w:t xml:space="preserve">Quelle: </w:t>
      </w:r>
      <w:r>
        <w:t>https://mcp.opencaselaw.ch/entscheid/sg_publikationen_20-9094___20-9095</w:t>
      </w:r>
    </w:p>
    <w:p>
      <w:r>
        <w:t>FR: SG_PUBLIKATIONEN 20-9094 / 20-9095 du 11 mai 2021</w:t>
      </w:r>
    </w:p>
    <w:p>
      <w:r>
        <w:t>IT: SG_PUBLIKATIONEN 20-9094 / 20-9095 del 11 maggio 2021</w:t>
      </w:r>
    </w:p>
    <w:p>
      <w:pPr>
        <w:pStyle w:val="Heading2"/>
      </w:pPr>
      <w:r>
        <w:t>Erwägungen</w:t>
      </w:r>
    </w:p>
    <w:p>
      <w:r>
        <w:rPr>
          <w:b/>
        </w:rPr>
        <w:t>E. 1.1</w:t>
      </w:r>
    </w:p>
    <w:p>
      <w:r>
        <w:t>Die beiden Rekursverfahren stehen im gleichen sachlichen Zu- sammenhang. Sie werfen dieselben Sachverhalts- und Rechtsfragen auf. Es ist somit zweckmässig, sie verfahrensrechtlich zu vereinigen und durch einen einzigen Entscheid zu erledigen (VerwGE B 2015/96 und B 2015/97 vom 26. Oktober 2016 Erw. 1; GVP 1972 Nr. 30).</w:t>
      </w:r>
    </w:p>
    <w:p>
      <w:r>
        <w:rPr>
          <w:b/>
        </w:rPr>
        <w:t>E. 1.2</w:t>
      </w:r>
    </w:p>
    <w:p>
      <w:r>
        <w:t>Die Zuständigkeit des Baudepartementes ergibt sich aus Art. 43bis des Gesetzes über die Verwaltungsrechtspflege (sGS 951.1; abgekürzt VRP).</w:t>
      </w:r>
    </w:p>
    <w:p>
      <w:r>
        <w:rPr>
          <w:b/>
        </w:rPr>
        <w:t>E. 1.3</w:t>
      </w:r>
    </w:p>
    <w:p>
      <w:r>
        <w:t>Die Frist- und Formerfordernisse von Art. 47 Abs. 1 und Art. 48 VRP sind erfüllt. Die Rekursberechtigung ist gegeben (Art. 45 VRP). Auf die Rekurse ist einzutreten.</w:t>
      </w:r>
    </w:p>
    <w:p>
      <w:r>
        <w:rPr>
          <w:b/>
        </w:rPr>
        <w:t>E. 2</w:t>
      </w:r>
    </w:p>
    <w:p>
      <w:r>
        <w:t>Am 1. Oktober 2017 ist das Planungs- und Baugesetz (sGS 731.1; abgekürzt PBG) in Kraft getreten und das Baugesetz vom 6. Juni 1972 (nGS 8, 134; abgekürzt BauG) aufgehoben worden (Art. 172 Bst. a PBG). Der erstinstanzliche Einsprache- und Baubewilligungsent- scheid erging am 2. November 2020. Mithin sind vorliegend grundsätz- lich die Bestimmungen des PBG anwendbar, sofern sie gemäss An- hang zum Kreisschreiben „Übergangsrechtliche Bestimmungen im PBG“ vom 8. März 2017 (Baudepartement SG, Juristische Mitteilun- gen 2017/I/1) als unmittelbar anwendbar erklärt werden. Im Übrigen gelangen weiterhin das Baugesetz und das entsprechende Bauregle- ment zur Anwendung.</w:t>
      </w:r>
    </w:p>
    <w:p>
      <w:r>
        <w:rPr>
          <w:b/>
        </w:rPr>
        <w:t>E. 3</w:t>
      </w:r>
    </w:p>
    <w:p>
      <w:r>
        <w:t>Die Rekurrenten 2 bringen vor, dass einige Mitglieder der Vorinstanz bei der Fällung des angefochtenen Entscheids befangen gewesen seien. Die Baukommission der Stadt Z.___ habe am 2. März 2020 eine Ausnahmebewilligung für den Strassenabstand in Aussicht gestellt. An diesem Entscheid hätten I.___, J.___, K.___ und L.___ mitgewirkt. Am vorliegend angefochtenen Beschluss, mit welchem die Ausnahmebe- willigung erteilt worden ist, hätten wiederum die Stadträte I.___, J.___ und K.___ (als Präsident) mitgewirkt. L.___ sei sodann als Gast eben- falls anwesend gewesen. Angesichts dieser Umstände lasse sich die Möglichkeit, dass die diesbezügliche Haltung der in der Baukommis- sion vertretenen Mitglieder für ihren späteren Stadtratsbeschluss vor- bestimmt gewesen sei, nicht von der Hand weisen. Dementsprechend</w:t>
      </w:r>
    </w:p>
    <w:p>
      <w:r>
        <w:t>Entscheid des Baudepartementes SG (Nr. 41/2021), Seite 6/12</w:t>
      </w:r>
    </w:p>
    <w:p>
      <w:r>
        <w:t>scheine, als hätten sie auch die gegen das Baugesuch erhobenen Ein- sprachen – zumindest was diesen Punkt betreffe – nicht ohne An- schein der Vorbefassung beurteilen können.</w:t>
      </w:r>
    </w:p>
    <w:p>
      <w:r>
        <w:rPr>
          <w:b/>
        </w:rPr>
        <w:t>E. 3.1</w:t>
      </w:r>
    </w:p>
    <w:p>
      <w:r>
        <w:t>Art. 29 Abs. 1 der Bundesverfassung (SR 101; abgekürzt BV) gewährleistet den Anspruch auf richtige Zusammensetzung der Ent- scheidbehörde. Von der entscheidenden Behörde und deren Mitglie- dern wird zudem ein gewisses Mass an Unabhängigkeit verlangt (G. STEINMANN, in: Ehrenzeller/Schindler/Schweizer/Vallender [Hrsg.], Kommentar zur Schweizerischen Bundesverfassung, 3. Aufl., Zürich/St.Gallen 2014, N 35 zu Art. 29 BV). Wegen fehlender Unab- hängigkeit können Mitglieder von gerichtlichen und von Verwaltungs- behörden unter anderem dann abgelehnt werden, wenn Umstände vorliegen, die nach objektiven Gesichtspunkten geeignet sind, den An- schein der Befangenheit zu erwecken (BGE 127 I 198). Die in Art. 29 BV statuierten Verfahrensgarantien gelten in allen Gerichts- sowie Verwaltungsverfahren. Die bundesgerichtlichen Anforderungen an die Unabhängigkeit der Mitglieder einer Entscheidbehörde werden im kantonalen Recht in Art. 7 Abs. 1 VRP konkretisiert. Danach haben Behördenmitglieder, öffentliche Angestellte und amtlich bestellte Sachverständige, die Anordnungen treffen, solche vorbereiten oder daran mitwirken, von sich aus in den Ausstand zu treten, wenn (Bst. a) sie selbst oder ihre Verwandten in der Angelegenheit betroffen sind, (Bst. b) sie wirtschaftlich betroffen sind, (Bst. bbis) sie bei einer Anord- nung einer Vorinstanz mitgewirkt haben oder (Bst. c) wenn sie aus an- deren Gründen befangen erscheinen. Durch die Ausstands- vorschriften soll vermieden werden, dass Mitglieder, die voreingenom- men sind oder so erscheinen, an einem Entscheid mitwirken. Ein strik- ter Nachweis ist nicht erforderlich – es genügt die Glaubhaftmachung. Auf rein individuelle – subjektive – Eindrücke eines Verfahrensbetei- ligten darf nicht abgestellt werden. Vielmehr sind nur die objektiv fest- gestellten Umstände zu berücksichtigen (VerwGE B 2017/115 vom 26. Oktober 2017 Erw. 2.3 mit Hinweisen).</w:t>
      </w:r>
    </w:p>
    <w:p>
      <w:r>
        <w:rPr>
          <w:b/>
        </w:rPr>
        <w:t>E. 3.2</w:t>
      </w:r>
    </w:p>
    <w:p>
      <w:r>
        <w:t>Bei Verfahren vor Verwaltungsbehörden ist dem Umstand Rech- nung zu tragen, dass diese im Gegensatz zu den gerichtlichen Instan- zen nicht nur zur neutralen Rechtsanwendung und Streitentscheidung berufen sind, sondern auch weitere öffentliche Aufgaben erfüllen und öffentliche Interessen wahren sowie in eine Verwaltungsorganisation eingebunden sind. Ist die Unbefangenheit von Verwaltungsbehörden zu beurteilen, ist immer zu berücksichtigen, dass diese zunächst hauptsächlich ihre Verwaltungsfunktionen zu erfüllen haben und nicht Rechtsprechungsfunktionen. An ihre Unbefangenheit können deshalb nicht dieselben Anforderungen gestellt werden, wie an die Unabhän- gigkeit von Justizbehörden (C. REITER, in: Rizvi/Schindler/Cavelti, Pra- xiskommentar zum Gesetz über die Verwaltungsrechtspflege, Zü- rich/St.Gallen 2020, Art. 7-7bis N 26). Im verwaltungsinternen Verfah- ren bejaht das Bundesgericht eine Ausstandspflicht in der Regel nur dann, wenn das betreffende Behördenmitglied oder der Beamte ein persönliches Interesse an dem zu behandelnden Geschäft hat. Im Zu- sammenhang mit Vorabklärungen bei Verwaltungsbehörden, für die</w:t>
      </w:r>
    </w:p>
    <w:p>
      <w:r>
        <w:t>Entscheid des Baudepartementes SG (Nr. 41/2021), Seite 7/12</w:t>
      </w:r>
    </w:p>
    <w:p>
      <w:r>
        <w:t>bei komplexen Sach- und Rechtsfragen ein Bedürfnis bestehen kann, dürfen die Äusserungen der Behörde aber nicht den Eindruck erwe- cken, diese habe sich bereits ihre Meinung in Bezug auf ein konkretes Vorhaben gebildet. Äusserungen dürfen nicht einer abschliessenden Beurteilung gleichkommen (Urteil des Bundesgerichtes 1C_150/2009 vom 8. September 2009 Erw. 3.5.2). In jedem Fall ist eine Beurteilung aller konkreten Umstände nötig. Massgebend sind sowohl die behörd- liche Organisation als auch die Funktionen, welche die Betreffenden wahrzunehmen haben, sowie ihre Stellung im konkreten Verfahren (VerwGE B 2020/59 vom 19. Januar 2021 Erw. 2.2.1 mit weiteren Hin- weisen).</w:t>
      </w:r>
    </w:p>
    <w:p>
      <w:r>
        <w:rPr>
          <w:b/>
        </w:rPr>
        <w:t>E. 3.3</w:t>
      </w:r>
    </w:p>
    <w:p>
      <w:r>
        <w:t>Gemäss Art. 2 des gültigen Baureglements der Stadt Z.___ vom</w:t>
      </w:r>
    </w:p>
    <w:p>
      <w:r>
        <w:rPr>
          <w:b/>
        </w:rPr>
        <w:t>E. 6</w:t>
      </w:r>
    </w:p>
    <w:p>
      <w:r>
        <w:t>Juli 2009 (abgekürzt BauR) entscheidet der Stadtrat über Baugesu- che, wenn gleichzeitig über Einsprachen zu entscheiden oder eine we- sentliche Ausnahmebewilligung zu erteilen ist. Sofern der Stadtrat zu- ständig ist, stellt die Baukommission diesem Anträge. Mit Protokol- lauszug der Baukommissionssitzung vom 2. März 2020 äusserte sich diese zur Anfrage, wie sich die Baukommission zu einer allfälligen Ausnahmebewilligung betreffend Strassenabstand stelle. Im Protokol- lauszug teilte die Baukommission mit, dass eine Ausnahmebewilligung in Aussicht gestellt werden könne. Der Abstand des Gebäudes zur nördlichen Grundstücksgrenze habe sich an den bestehenden Gebäu- den zu orientieren. Die Baukommission hat die Erteilung einer Aus- nahmebewilligung lediglich "in Aussicht" gestellt. Hiermit ist die Bau- kommission dem berechtigten Bedürfnis nach Beratung, Auskunftser- teilung und Information nachgekommen. Dieses Vorgehen im Sinn der "Bürgernähe" und "Kundenorientierung" ist anerkannt und entspricht der gängigen Praxis (B. SCHINDLER, Befangenheit der Verwaltung, Zü- rich/Basel/Genf 2002, S. 136 f.). Aus dem Wortlaut geht zudem hervor, dass es sich um eine vorläufige und nicht etwa eine abschliessende Beurteilung handelt. Aufgrund dieser Umstände kann nicht auf eine unzulässige Vorbefassung von I.___, J.___, K.___ und L.___ ge- schlossen werden. Umso weniger, als wie gezeigt an die Unbefangen- heit von Verwaltungsbehörden nicht dieselben Anforderungen gestellt werden kann wie an die Unabhängigkeit von Justizbehörden. Die Rüge erweist sich damit als unbegründet.</w:t>
      </w:r>
    </w:p>
    <w:p>
      <w:r>
        <w:t>4.</w:t>
      </w:r>
    </w:p>
    <w:p>
      <w:r>
        <w:t>Beide Rekurrenten rügen, dass die Ausnahmebewilligung vom Stras- senabstand zu Unrecht erteilt worden sei.</w:t>
      </w:r>
    </w:p>
    <w:p>
      <w:r>
        <w:t>4.1 Mit dem Baugesuch beiliegendem Schreiben vom 21. Mai 2020 beantragte die Rekursgegnerin die Erteilung einer Ausnahmebewilli- gung hinsichtlich des Strassenabstands. Darin führte die Rekursgeg- nerin aus, dass nach Rücksprache mit der Bauverwaltung das Fuss- und Fahrwegrecht zwecks hinreichender Erschliessung in eine Ge- meindestrasse 3. Klasse habe umgewandelt werden müssen. Dabei sei es ein grosses Anliegen der Rekursgegnerin gewesen, auf den Strassenabstand verzichten zu dürfen. Die Baukommission Z.___ habe eine Ausnahmebewilligung auch bereits in Aussicht gestellt. Für</w:t>
      </w:r>
    </w:p>
    <w:p>
      <w:r>
        <w:t>Entscheid des Baudepartementes SG (Nr. 41/2021), Seite 8/12</w:t>
      </w:r>
    </w:p>
    <w:p>
      <w:r>
        <w:t>die Erteilung der Ausnahmebewilligung führte die Rekursgegnerin zum einen ortbauliche Überlegungen an. Zum anderen sei eine Ausnahme- bewilligung aus Gründen der Gleichbehandlung angezeigt. Schliess- lich sei zu berücksichtigen, dass die Verkehrssicherheit nicht gefähr- det werde.</w:t>
      </w:r>
    </w:p>
    <w:p>
      <w:r>
        <w:t>4.2 Im angefochtenen Beschluss führte die Vorinstanz aus, dass der vorgeschriebene Strassenabstand von 3 m gegenüber dem H.___weg nicht eingehalten werden könne. Im Erdgeschoss betrage der Abstand zur klassierten Strasse 1,23 m, im Sockelgeschoss 2,78 m. Auf die Erteilung einer Ausnahmebewilligung bestehe grundsätzlich kein Rechtsanspruch. Ausnahmebewilligungen seien zurückhaltend und nur bei Vorliegen besonderer Umstände zu erteilen. Im vorliegenden Fall sei die Zufahrt nach aktueller Praxis des Baudepartementes klas- siert worden, da sie über Eigentum eines Dritten hinweg der Erschlies- sung von mindestens zwei ständig bewohnten Wohneinheiten diene. Der erlassene Teilstrassenplan diene jedoch nicht einem zu erschlies- senden Baugebiet, sondern sei über eine bereits bestehende Zufahrt gelegt worden. Die bestehenden Gebäude auf den Grundstücken Nrn. 003 und 002 würden daher ebenfalls den Strassenabstand ver- letzten. Aus ortsbaulicher Sicht und damit im übergeordneten öffentli- chen Interesse bzw. zwecks Vermeidung rechtsungleicher Behand- lung müsse dem vorliegenden Bauprojekt gegen Norden ebenfalls das Abstandsprivileg zugestanden werden. Damit lägen sämtliche Ge- bäude auf einer Häuserflucht im üblichen Grenzabstand. Ohne die Er- teilung einer Ausnahmebewilligung würde eine allgemeine Unordnung Platz greifen. Zumal die Verkehrssicherheit nicht beeinträchtigt werde und für die Unterschreitung des Strassenabstands ein erhebliches öf- fentliches Interesse bestehe, sei die Ausnahmebewilligung zu erteilen.</w:t>
      </w:r>
    </w:p>
    <w:p>
      <w:r>
        <w:t>4.3 Dagegen bringen die Rekurrenten vor, dass es das Bauvorha- ben der Rekursgegnerin gewesen sei, welches einen Teilstrassenplan erst erfordert habe. Da es sich um einen Neubau handle, müsse es möglich sein, diesen unter Einhaltung der anwendbaren Vorschriften zu planen. Alleine die übermässige Ausnützung des Baugrundstücks führe dazu, dass der Strassenabstand massiv unterschritten werden müsse. Auch sei Art. 10 Abs. 2 BauR nicht eingehalten, weil kein Vor- platz von minimal 5,5 m Länge bestehe. Bis zur Grenze im Norden seien es gerade einmal 5,78 m, wovon 3 m auf die klassierte Zu- fahrtstrasse fallen würden. Keine der Nachbarbauten brauche die Strasse als Garagenvorplatz. Ein Grund für eine Ausnahmebewilli- gung bestehe damit nicht.</w:t>
      </w:r>
    </w:p>
    <w:p>
      <w:r>
        <w:t>4.4 Gemäss Art. 6 Abs. 1 BauR haben Bauten und Anlagen – sofern keine Baulinie besteht – bei der M.___strasse und der N.___strasse einen Strassenabstand von 4,5 m einzuhalten; bei den übrigen Ge- meindestrassen gilt dagegen ein Strassenabstand von 3 m. Weiter sieht Abs. 1 vor, dass entlang klassierter Strassen die Strassenab- standsvorschriften anderen Abständen vorgehen. Sodann sieht Art. 10 Abs. 2 BauR vor, dass bei jeder Garage ein Vorplatz von mindestens</w:t>
      </w:r>
    </w:p>
    <w:p>
      <w:r>
        <w:t>Entscheid des Baudepartementes SG (Nr. 41/2021), Seite 9/12</w:t>
      </w:r>
    </w:p>
    <w:p>
      <w:r>
        <w:t>5,5 m Länge so anzulegen ist, dass ein übliches Motorfahrzeug abge- stellt werden kann, ohne Trottoir- oder Fahrbahnfläche zu beanspru- chen. Es ist unbestritten, dass das Vorhaben den Strassenabstand von 3 m gegenüber dem neuklassierten H.___weg mit 2,78 m im Erd- geschoss und 1,23 m im Sockelgeschoss nicht einhält. Ebenfalls un- bestritten ist, dass die Vorplatzbestimmung nach Art. 10 Abs. 2 BauR nicht eingehalten ist.</w:t>
      </w:r>
    </w:p>
    <w:p>
      <w:r>
        <w:t>4.5 Gemäss Art. 108 des Strassengesetzes (sGS 732.1; abgekürzt StrG) kann die zuständige Behörde Ausnahmen von den Strassenab- standsvorschriften bewilligen, wenn weder Verkehrssicherheit noch Strasse beeinträchtigt werden (Bst. a), Schutzobjekte nach Art. 115 PBG zu erhalten sind (Bst. b) oder reduzierte Abstände für Lärm- schutzanlagen der Einhaltung der Lärmschutzgesetzgebung dienen (Bst. c). Auf eine Ausnahmebewilligung besteht kein Rechtsanspruch (D. GMÜR, in: G. Germann [Hrsg.], Kurzkommentar zum st.gallischen Strassengesetz vom 12. Juni 1988, St.Gallen 1988, N 3 zu Art. 108). Ein solcher kann sich unter Umständen aber aus dem Gleichbehand- lungsgrundsatz ergeben. Ausnahmen nach Strassenrecht sind nur zu- rückhaltend und einzig bei Vorliegen besonderer Verhältnisse zu ge- währen, auch wenn der Gesetzeswortlaut nicht zwingend nach einem Härtefall im Sinn von Art. 77 Abs. 1 Bst. a BauG verlangt (GVP 2006 Nr. 35 S. 155; GMÜR, a.a.O., N 3 zu Art. 108) und strassenrechtliche Ausnahmebewilligungen nicht nur bei Vorliegen einer eigentlichen Ausnahmesituation erteilt werden dürfen (VerwGE B 2013/50 und 51 vom 8. Juli 2014 Erw. 3.3.2). Strassenabstandsvorschriften verlangen vielmehr, dass die zuständigen Behörden bei der Erteilung von Aus- nahmebewilligungen einen grossen Spielraum haben. Gleichwohl heisst das aber nicht, dass Ausnahmebewilligungen generell und ohne Vorliegen besonderer mit dem Einzelfall zusammenhängender Gründe oder gar nach Gutdünken erteilt werden können, ansonsten die Grundordnung aufgehoben würde (VerwGE B 2013/50 und 51 vom</w:t>
      </w:r>
    </w:p>
    <w:p>
      <w:r>
        <w:rPr>
          <w:b/>
        </w:rPr>
        <w:t>E. 6.1</w:t>
      </w:r>
    </w:p>
    <w:p>
      <w:r>
        <w:t>Im Rekursverfahren werden ausseramtliche Kosten entschädigt, soweit sie auf Grund der Sach- und Rechtslage notwendig und ange- messen erscheinen (Art. 98 Abs. 2 VRP). Die ausseramtliche Entschä- digung wird den am Verfahren Beteiligten nach Obsiegen und Unter- liegen auferlegt (Art. 98bis VRP). Die Vorschriften der Schweizerischen Zivilprozessordnung (SR 272) finden sachgemäss Anwendung (Art. 98ter VRP).</w:t>
      </w:r>
    </w:p>
    <w:p>
      <w:r>
        <w:t>Nicht anwaltlich vertretene Verfahrensbeteiligte haben grundsätzlich mangels eines besonderen Aufwands keinen Anspruch auf eine aus- seramtliche Entschädigung (Art. 98ter VRP in Verbindung mit Art. 95 Abs. 3 Bst. c ZPO). Dass ihnen gleichwohl ersatzfähige Kosten für Umtriebe erwachsen, ist ungewöhnlich und bedarf deshalb einer be- sonderen Begründung. Eine Umtriebsentschädigung erfolgt somit nur ausnahmsweise, insbesondere wenn es sich um eine komplizierte Sa- che mit hohem Streitwert handelt, wenn der getätigte Aufwand erheb- lich ist und zwischen dem betrieblichen Aufwand und dem Ergebnis der Interessenwahrung ein vernünftiges Verhältnis besteht. Nicht an- waltlich vertretenen Personen spricht das Baudepartement lediglich eine Umtriebsentschädigung ohne Bezugnahme auf den Anwalts- oder einen anderen Branchentarif zu, und zwar praxisgemäss in der Höhe von Fr. 300.– bis Fr. 500.– (vgl. VerwGE B 2013/178 vom</w:t>
      </w:r>
    </w:p>
    <w:p>
      <w:r>
        <w:rPr>
          <w:b/>
        </w:rPr>
        <w:t>E. 6.2</w:t>
      </w:r>
    </w:p>
    <w:p>
      <w:r>
        <w:t>Die Rekurrenten 1 obsiegen zwar mit ihren Anträgen. Ihr Kos- tenbegehren haben sie aber trotz Aufforderung nicht begründet. Ihr Antrag ist damit mangels Begründung abzuweisen.</w:t>
      </w:r>
    </w:p>
    <w:p>
      <w:r>
        <w:rPr>
          <w:b/>
        </w:rPr>
        <w:t>E. 6.3</w:t>
      </w:r>
    </w:p>
    <w:p>
      <w:r>
        <w:t>Die Rekurrenten 2 obsiegen mit ihren Anträgen. Da das Verfah- ren zudem in tatsächlicher und rechtlicher Hinsicht Schwierigkeiten bot, die den Beizug einer Rechtsvertreterin rechtfertigen, besteht grundsätzlich Anspruch auf eine ausseramtliche Entschädigung (Art. 98bis VRP). Weil keine Kostennote vorliegt, ist die ausseramtliche Entschädigung in Anwendung von Art. 6 in Verbindung mit Art. 22 der Honorarordnung (sGS 963.75) ermessensweise auf Fr. 3'250.– (zuzüglich Mehrwertsteuer) festzulegen; sie ist von der Rekursgegnerin zu bezahlen.</w:t>
      </w:r>
    </w:p>
    <w:p>
      <w:r>
        <w:t>Entscheid des Baudepartementes SG (Nr. 41/2021), Seite 12/12</w:t>
      </w:r>
    </w:p>
    <w:p>
      <w:r>
        <w:t>Entscheid 1.</w:t>
      </w:r>
    </w:p>
    <w:p>
      <w:r>
        <w:t>a) Der Rekurs Nr. 20-9094 von A.___ und B.___ wird im Sinn der Erwägungen gutgeheissen.</w:t>
      </w:r>
    </w:p>
    <w:p>
      <w:r>
        <w:t>b) Der Rekurs Nr. 20-9095 von C.___ und D.___ wird im Sinn der Erwägungen gutgeheissen.</w:t>
      </w:r>
    </w:p>
    <w:p>
      <w:r>
        <w:t>c) Die Baubewilligung des Stadtrates Z.___ vom 2. November 2020 und der Einspracheentscheid vom 2. November 2020 werden aufgehoben.</w:t>
      </w:r>
    </w:p>
    <w:p>
      <w:r>
        <w:t>2.</w:t>
      </w:r>
    </w:p>
    <w:p>
      <w:r>
        <w:t>a) Die E.___ GmbH bezahlt eine Entscheidgebühr von Fr. 3'500.–</w:t>
      </w:r>
    </w:p>
    <w:p>
      <w:r>
        <w:t>b) Der am 11. Dezember 2020 von A.___ und B.___ im Rekurs Nr. 20-9094 geleistete Kostenvorschuss von Fr. 1'800.– wird zurückerstattet.</w:t>
      </w:r>
    </w:p>
    <w:p>
      <w:r>
        <w:t>c) Der am 15. Dezember 2020 von C.___ im Rekurs Nr. 20-9095 geleistete Kostenvorschuss von Fr. 1'800.– wird zurück- erstattet.</w:t>
      </w:r>
    </w:p>
    <w:p>
      <w:r>
        <w:t>3.</w:t>
      </w:r>
    </w:p>
    <w:p>
      <w:r>
        <w:t>a) Das Begehren von A.___ und B.___ um Ersatz der ausseramt- lichen Kosten wird abgewiesen.</w:t>
      </w:r>
    </w:p>
    <w:p>
      <w:r>
        <w:t>b) Das Begehren von C.___ und D.___ um Ersatz der ausseramt- lichen Kosten wird gutgeheissen. Die E.___ GmbH entschädigt C.___ und D.___ ausseramtlich mit Fr. 3'250.– zuzüglich Mehrwertsteuer.</w:t>
      </w:r>
    </w:p>
    <w:p>
      <w:r>
        <w:t>Die Vorsteherin</w:t>
      </w:r>
    </w:p>
    <w:p>
      <w:r>
        <w:t>Susanne Hartmann Regierungsrätin</w:t>
      </w:r>
    </w:p>
    <w:p>
      <w:r>
        <w:rPr>
          <w:b/>
        </w:rPr>
        <w:t>E. 8</w:t>
      </w:r>
    </w:p>
    <w:p>
      <w:r>
        <w:t>Juli 2014 Erw. 3.3 mit Verweis auf B 2011/63 vom 7. Dezember 2011 Erw. 4.4; BDE Nr. 37/2017 vom 13. November 2017 Erw. 6.2).</w:t>
      </w:r>
    </w:p>
    <w:p>
      <w:r>
        <w:t>4.6 Die Vorinstanz begründete die Ausnahmebewilligung unter an- derem mit ortsbaulichen Überlegungen. Durch die Erteilung der Aus- nahmebewilligung könne erreicht werden, dass alle Gebäude in einer Flucht im üblichen Grenzabstand zu liegen kommen. Damit könne eine allgemeine Unordnung verhindert werden. Es ist der Vorinstanz zwar zuzustimmen, dass bei der Beurteilung der besonderen Verhältnisse auch die Raum- und Ortsplanung mitberücksichtigt werden kann. Dies kann beispielsweise der Fall sein, wenn Motorfahrzeuge anstatt auf öffentlichem auf privatem Grund abgestellt werden können; dies umso mehr, wenn im Quartier Parkplatzknappheit herrscht und die Parkie- rung unterirdisch angeordnet werden kann (GVP 2006 Nr. 35). Im Ver- gleich dazu machen weder Vorinstanz noch Rekursgegnerin vorlie- gend spezielle ortsplanerische Gründe geltend, die eine Ausnahme- bewilligung verlangen. Eine einheitliche Strassenflucht und eine allfäl- lige allgemeine Reduktion des Strassenabstands wäre bei den vorlie- genden konkreten Verhältnissen als dann mittels der Festlegung von</w:t>
      </w:r>
    </w:p>
    <w:p>
      <w:r>
        <w:t>Entscheid des Baudepartementes SG (Nr. 41/2021), Seite 10/12</w:t>
      </w:r>
    </w:p>
    <w:p>
      <w:r>
        <w:t>Baulinien – wie in Art. 6 Abs. 1 BauR auch vorgesehen – und nicht mittels Ausnahmebewilligung zu bewerkstelligen. Ebenso wenig ist eine Ausnahmebewilligung aus Gründen der Gleichbehandlung ange- zeigt. Der Anspruch auf Gleichbehandlung verlangt, dass Rechte und Pflichten der Betroffenen nach dem gleichen Massstab festzusetzen sind. Das Gleichheitsprinzip verbietet unterschiedliche Regelungen, denen keine rechtlich erheblichen Unterscheidungen zu Grunde liegen (HÄFELIN/MÜLLER/UHLMANN, Allgemeines Verwaltungsrecht, 8. Auf- lage, Zürich/St.Gallen 2020, N 572). Mit dem im Jahr 2021 genehmig- ten Teilstrassenplan besteht jedoch gerade ein erheblicher rechtlicher Unterschied, so dass auch keine Ungleichbehandlung bestehen kann. Nur weil die bestehenden Gebäude durch den Teilstrassenplan hin- sichtlich des Strassenabstands nachträglich materiell rechtswidrig werden, rechtfertigt es sich nicht, auch bei zukünftigen Gebäuden auf den Strassenabstand zu verzichten. Ansonsten könnten sich Stras- senabstände bei neuklassierten Strassen nie durchsetzen und wären in ihrem Kern letztlich obsolet. Das Interesse der Rekursgegnerin, ihr Grundstück möglichst optimal auszunützen, rechtfertigt ebenfalls keine Ausnahmebewilligung. Zum einen kann dieses Interesse bei je- der Abstandsunterschreitung vorgebracht werden. Zum anderen ist die Rekursgegnerin nur darum auf eine Ausnahmebewilligung ange- wiesen, weil sie auf einem 623,5 m2 grossen Grundstück mit einer Ausnützungsziffer von 0,5 mittels Ausnützungstransfers eine massive Wohnbaute mit 542,7 m2 anrechenbarer Geschossfläche realisieren möchte. Dabei verhindert aber weder die Topografie, Form oder Lage des Baugrundstücks eine regelkonforme Überbauung. Damit steht fest, dass keine besonderen Verhältnisse im Sinn von Art. 108 StrG vorliegen. Somit hat die Vorinstanz – selbst wenn weder Verkehrssi- cherheit noch Strasse beeinträchtigt sein sollten – die Ausnahmebe- willigung zu Unrecht erteilt. Der Vorinstanz kommt bei der Beurteilung von Ausnahmetatbeständen zwar ein grosser Spielraum zu. Bei der Frage, ob besondere Verhältnisse vorliegen, welche die Erteilung ei- ner Ausnahmebewilligung rechtfertigen handelt es jedoch um eine Rechtsfrage. Als Ermessensfrage gilt dagegen, durch welche Abwei- chung von den Vorschriften und durch welche Anordnungen den be- sonderen Verhältnissen Rechnung zu tragen ist (BGE 97 I 134 Erw. 3; HÄFELIN/MÜLLER/UHLMANN, a.a.O., N 424 ff).</w:t>
      </w:r>
    </w:p>
    <w:p>
      <w:r>
        <w:t>4.7 Zusammenfassend ergibt sich, dass das Vorhaben den Stras- senabstand verletzt und die Vorinstanz hierfür zu Unrecht eine Aus- nahmebewilligung erteilt hat. Bereits aus diesem Grund sind die ange- fochtene Baubewilligung und der Einspracheentscheid der Vorinstanz vom 2. November 2020 aufzuheben. Die Rekurse erweisen sich als begründet und sind im Sinn der Erwägungen gutzuheissen. Bei dieser Ausgangslage ist auf die übrigen Einwände nicht weiter einzugehen.</w:t>
      </w:r>
    </w:p>
    <w:p>
      <w:r>
        <w:t>5.</w:t>
      </w:r>
    </w:p>
    <w:p>
      <w:r>
        <w:t>5.1 Nach Art. 95 Abs. 1 VRP hat in Streitigkeiten jener Beteiligte die Kosten zu tragen, dessen Begehren ganz oder teilweise abgewiesen werden. Die Entscheidgebühr beträgt Fr. 3'500.– (Nr. 20.13.01 des Gebührentarifs für die Kantons- und Gemeindeverwaltung,</w:t>
      </w:r>
    </w:p>
    <w:p>
      <w:r>
        <w:t>Entscheid des Baudepartementes SG (Nr. 41/2021), Seite 11/12</w:t>
      </w:r>
    </w:p>
    <w:p>
      <w:r>
        <w:t>sGS 821.5). Dem Ausgang des Verfahrens entsprechend sind die amtlichen Kosten der Rekursgegnerin zu überbinden.</w:t>
      </w:r>
    </w:p>
    <w:p>
      <w:r>
        <w:t>5.2 Der von den Rekurrenten 1 am 11. Dezember 2020 geleistete Kostenvorschuss von Fr. 1'800.– ist zurückzuerstatten. Dasselbe gilt für den von den Rekurrenten 2 am 15. Dezember 2020 in derselben Höhe geleisteten Kostenvorschuss.</w:t>
      </w:r>
    </w:p>
    <w:p>
      <w:r>
        <w:t>6.</w:t>
      </w:r>
    </w:p>
    <w:p>
      <w:r>
        <w:t>Die Rekurrenten 1 und 2 stellen je ein Begehren um Ersatz der aus- seramtlichen Kosten.</w:t>
      </w:r>
    </w:p>
    <w:p>
      <w:r>
        <w:rPr>
          <w:b/>
        </w:rPr>
        <w:t>E. 12</w:t>
      </w:r>
    </w:p>
    <w:p>
      <w:r>
        <w:t>Februar 2014 Erw. 4.3 ff. und 5 ff., zusammengefasst in: Baude- partement SG, Juristische Mitteilungen 2014/I/6).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